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u w:val="none"/>
          <w:lang w:eastAsia="zh-CN"/>
        </w:rPr>
        <w:t>重庆市应急管理局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华文中宋" w:eastAsia="方正小标宋_GBK"/>
          <w:bCs/>
          <w:spacing w:val="-6"/>
          <w:sz w:val="44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u w:val="none"/>
          <w:lang w:eastAsia="zh-CN"/>
        </w:rPr>
        <w:t>关于</w:t>
      </w:r>
      <w:r>
        <w:rPr>
          <w:rFonts w:hint="eastAsia" w:ascii="方正小标宋_GBK" w:hAnsi="华文中宋" w:eastAsia="方正小标宋_GBK"/>
          <w:bCs/>
          <w:spacing w:val="-6"/>
          <w:sz w:val="44"/>
          <w:u w:val="none"/>
          <w:lang w:eastAsia="zh-CN"/>
        </w:rPr>
        <w:t>印发《</w:t>
      </w:r>
      <w:r>
        <w:rPr>
          <w:rFonts w:hint="eastAsia" w:ascii="方正小标宋_GBK" w:hAnsi="华文中宋" w:eastAsia="方正小标宋_GBK"/>
          <w:bCs/>
          <w:spacing w:val="-6"/>
          <w:sz w:val="44"/>
          <w:u w:val="none"/>
        </w:rPr>
        <w:t>重庆市</w:t>
      </w:r>
      <w:r>
        <w:rPr>
          <w:rFonts w:hint="eastAsia" w:ascii="方正小标宋_GBK" w:hAnsi="华文中宋" w:eastAsia="方正小标宋_GBK"/>
          <w:bCs/>
          <w:spacing w:val="-6"/>
          <w:sz w:val="44"/>
          <w:u w:val="none"/>
          <w:lang w:eastAsia="zh-CN"/>
        </w:rPr>
        <w:t>生产安全事故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华文中宋" w:eastAsia="方正小标宋_GBK"/>
          <w:bCs/>
          <w:spacing w:val="-6"/>
          <w:sz w:val="44"/>
          <w:u w:val="none"/>
        </w:rPr>
      </w:pPr>
      <w:r>
        <w:rPr>
          <w:rFonts w:hint="eastAsia" w:ascii="方正小标宋_GBK" w:hAnsi="华文中宋" w:eastAsia="方正小标宋_GBK"/>
          <w:bCs/>
          <w:spacing w:val="-6"/>
          <w:sz w:val="44"/>
          <w:u w:val="none"/>
          <w:lang w:eastAsia="zh-CN"/>
        </w:rPr>
        <w:t>行政</w:t>
      </w:r>
      <w:r>
        <w:rPr>
          <w:rFonts w:hint="eastAsia" w:ascii="方正小标宋_GBK" w:hAnsi="华文中宋" w:eastAsia="方正小标宋_GBK"/>
          <w:bCs/>
          <w:spacing w:val="-6"/>
          <w:sz w:val="44"/>
          <w:u w:val="none"/>
        </w:rPr>
        <w:t>处罚裁量基准</w:t>
      </w:r>
      <w:r>
        <w:rPr>
          <w:rFonts w:hint="eastAsia" w:ascii="方正小标宋_GBK" w:hAnsi="华文中宋" w:eastAsia="方正小标宋_GBK"/>
          <w:bCs/>
          <w:spacing w:val="-6"/>
          <w:sz w:val="44"/>
          <w:u w:val="none"/>
          <w:lang w:eastAsia="zh-CN"/>
        </w:rPr>
        <w:t>》</w:t>
      </w:r>
      <w:r>
        <w:rPr>
          <w:rFonts w:hint="eastAsia" w:ascii="方正小标宋_GBK" w:hAnsi="华文中宋" w:eastAsia="方正小标宋_GBK"/>
          <w:bCs/>
          <w:spacing w:val="-6"/>
          <w:sz w:val="44"/>
          <w:u w:val="none"/>
        </w:rPr>
        <w:t>的通知</w:t>
      </w:r>
    </w:p>
    <w:p>
      <w:pPr>
        <w:spacing w:line="600" w:lineRule="exact"/>
        <w:jc w:val="center"/>
        <w:rPr>
          <w:rFonts w:hint="eastAsia"/>
          <w:u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u w:val="none"/>
        </w:rPr>
        <w:t>渝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u w:val="none"/>
          <w:lang w:eastAsia="zh-CN"/>
        </w:rPr>
        <w:t>应急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u w:val="none"/>
        </w:rPr>
        <w:t>发〔20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u w:val="none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u w:val="none"/>
        </w:rPr>
        <w:t>〕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u w:val="none"/>
          <w:lang w:val="en-US" w:eastAsia="zh-CN"/>
        </w:rPr>
        <w:t>1</w:t>
      </w:r>
      <w:r>
        <w:rPr>
          <w:rFonts w:hint="eastAsia" w:ascii="方正仿宋_GBK" w:hAnsi="方正仿宋_GBK" w:cs="方正仿宋_GBK"/>
          <w:b w:val="0"/>
          <w:bCs w:val="0"/>
          <w:color w:val="000000"/>
          <w:u w:val="none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u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0"/>
        <w:rPr>
          <w:rFonts w:hint="eastAsia" w:ascii="方正仿宋_GBK" w:eastAsia="方正仿宋_GBK"/>
          <w:u w:val="none"/>
        </w:rPr>
      </w:pPr>
      <w:bookmarkStart w:id="0" w:name="zsdw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0"/>
        <w:rPr>
          <w:rFonts w:hint="eastAsia" w:ascii="方正仿宋_GBK" w:hAnsi="Times New Roman" w:eastAsia="方正仿宋_GBK" w:cs="Times New Roman"/>
          <w:u w:val="none"/>
        </w:rPr>
      </w:pPr>
      <w:r>
        <w:rPr>
          <w:rFonts w:hint="eastAsia" w:ascii="方正仿宋_GBK" w:eastAsia="方正仿宋_GBK"/>
          <w:u w:val="none"/>
        </w:rPr>
        <w:t>各区县（自治县）应急管理局</w:t>
      </w:r>
      <w:r>
        <w:rPr>
          <w:rFonts w:hint="eastAsia" w:ascii="方正仿宋_GBK"/>
          <w:u w:val="none"/>
          <w:lang w:eastAsia="zh-CN"/>
        </w:rPr>
        <w:t>，</w:t>
      </w:r>
      <w:r>
        <w:rPr>
          <w:rFonts w:hint="eastAsia" w:ascii="方正仿宋_GBK" w:eastAsia="方正仿宋_GBK"/>
          <w:u w:val="none"/>
        </w:rPr>
        <w:t>两江新区、西部科学城重庆高新区、万盛经开区、双桥经开区应急管理局，局</w:t>
      </w:r>
      <w:r>
        <w:rPr>
          <w:rFonts w:hint="eastAsia" w:ascii="方正仿宋_GBK" w:hAnsi="Times New Roman" w:eastAsia="方正仿宋_GBK" w:cs="Times New Roman"/>
          <w:u w:val="none"/>
        </w:rPr>
        <w:t>机关有关处室、直属事业单位：</w:t>
      </w:r>
      <w:bookmarkEnd w:id="0"/>
      <w:bookmarkStart w:id="1" w:name="wgnr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方正仿宋_GBK" w:hAnsi="Times New Roman" w:eastAsia="方正仿宋_GBK" w:cs="Times New Roman"/>
          <w:color w:val="auto"/>
          <w:u w:val="none"/>
        </w:rPr>
      </w:pPr>
      <w:r>
        <w:rPr>
          <w:rFonts w:hint="eastAsia" w:ascii="方正仿宋_GBK" w:hAnsi="Times New Roman" w:cs="Times New Roman"/>
          <w:color w:val="auto"/>
          <w:u w:val="none"/>
          <w:lang w:val="en-US" w:eastAsia="zh-CN"/>
        </w:rPr>
        <w:t>现将</w:t>
      </w:r>
      <w:r>
        <w:rPr>
          <w:rFonts w:hint="eastAsia" w:ascii="方正仿宋_GBK" w:hAnsi="Times New Roman" w:eastAsia="方正仿宋_GBK" w:cs="Times New Roman"/>
          <w:u w:val="none"/>
        </w:rPr>
        <w:t>《重庆市</w:t>
      </w:r>
      <w:r>
        <w:rPr>
          <w:rFonts w:hint="eastAsia" w:ascii="方正仿宋_GBK" w:hAnsi="Times New Roman" w:eastAsia="方正仿宋_GBK" w:cs="Times New Roman"/>
          <w:u w:val="none"/>
          <w:lang w:eastAsia="zh-CN"/>
        </w:rPr>
        <w:t>生产安全事故行政</w:t>
      </w:r>
      <w:r>
        <w:rPr>
          <w:rFonts w:hint="eastAsia" w:ascii="方正仿宋_GBK" w:hAnsi="Times New Roman" w:eastAsia="方正仿宋_GBK" w:cs="Times New Roman"/>
          <w:u w:val="none"/>
        </w:rPr>
        <w:t>处罚裁量基准》</w:t>
      </w:r>
      <w:r>
        <w:rPr>
          <w:rFonts w:hint="eastAsia" w:ascii="方正仿宋_GBK" w:hAnsi="Times New Roman" w:cs="Times New Roman"/>
          <w:color w:val="auto"/>
          <w:u w:val="none"/>
          <w:lang w:val="en-US" w:eastAsia="zh-CN"/>
        </w:rPr>
        <w:t>印发给你们，请认真贯彻执行。</w:t>
      </w:r>
    </w:p>
    <w:p>
      <w:pPr>
        <w:keepNext w:val="0"/>
        <w:keepLines w:val="0"/>
        <w:pageBreakBefore w:val="0"/>
        <w:widowControl w:val="0"/>
        <w:tabs>
          <w:tab w:val="left" w:pos="7680"/>
          <w:tab w:val="left" w:pos="8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方正仿宋_GBK"/>
          <w:szCs w:val="32"/>
          <w:u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tabs>
          <w:tab w:val="left" w:pos="7680"/>
          <w:tab w:val="left" w:pos="8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eastAsia="方正仿宋_GBK"/>
          <w:szCs w:val="32"/>
          <w:u w:val="none"/>
        </w:rPr>
      </w:pPr>
      <w:r>
        <w:rPr>
          <w:rFonts w:eastAsia="方正仿宋_GBK"/>
          <w:szCs w:val="32"/>
          <w:u w:val="none"/>
        </w:rPr>
        <w:t>重庆市</w:t>
      </w:r>
      <w:r>
        <w:rPr>
          <w:rFonts w:hint="eastAsia" w:eastAsia="方正仿宋_GBK"/>
          <w:szCs w:val="32"/>
          <w:u w:val="none"/>
          <w:lang w:eastAsia="zh-CN"/>
        </w:rPr>
        <w:t>应急管理</w:t>
      </w:r>
      <w:r>
        <w:rPr>
          <w:rFonts w:eastAsia="方正仿宋_GBK"/>
          <w:szCs w:val="32"/>
          <w:u w:val="none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1280" w:rightChars="400" w:firstLine="0" w:firstLineChars="0"/>
        <w:jc w:val="right"/>
        <w:textAlignment w:val="auto"/>
        <w:outlineLvl w:val="9"/>
        <w:rPr>
          <w:rFonts w:hint="eastAsia" w:ascii="方正小标宋_GBK" w:hAnsi="华文中宋" w:eastAsia="方正小标宋_GBK"/>
          <w:bCs/>
          <w:spacing w:val="-6"/>
          <w:sz w:val="44"/>
          <w:u w:val="none"/>
        </w:rPr>
      </w:pPr>
      <w:r>
        <w:rPr>
          <w:rFonts w:hint="eastAsia" w:ascii="方正仿宋_GBK" w:hAnsi="方正仿宋_GBK" w:eastAsia="方正仿宋_GBK" w:cs="方正仿宋_GBK"/>
          <w:szCs w:val="32"/>
          <w:u w:val="none"/>
        </w:rPr>
        <w:t>20</w:t>
      </w:r>
      <w:r>
        <w:rPr>
          <w:rFonts w:hint="eastAsia" w:ascii="方正仿宋_GBK" w:hAnsi="方正仿宋_GBK" w:eastAsia="方正仿宋_GBK" w:cs="方正仿宋_GBK"/>
          <w:szCs w:val="32"/>
          <w:u w:val="none"/>
          <w:lang w:val="en-US" w:eastAsia="zh-CN"/>
        </w:rPr>
        <w:t>2</w:t>
      </w:r>
      <w:r>
        <w:rPr>
          <w:rFonts w:hint="eastAsia" w:ascii="方正仿宋_GBK" w:hAnsi="方正仿宋_GBK" w:cs="方正仿宋_GBK"/>
          <w:szCs w:val="32"/>
          <w:u w:val="none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Cs w:val="32"/>
          <w:u w:val="none"/>
        </w:rPr>
        <w:t>年</w:t>
      </w:r>
      <w:r>
        <w:rPr>
          <w:rFonts w:hint="eastAsia" w:ascii="方正仿宋_GBK" w:hAnsi="方正仿宋_GBK" w:eastAsia="方正仿宋_GBK" w:cs="方正仿宋_GBK"/>
          <w:szCs w:val="32"/>
          <w:u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Cs w:val="32"/>
          <w:u w:val="none"/>
        </w:rPr>
        <w:t>月</w:t>
      </w:r>
      <w:r>
        <w:rPr>
          <w:rFonts w:hint="eastAsia" w:ascii="方正仿宋_GBK" w:hAnsi="方正仿宋_GBK" w:cs="方正仿宋_GBK"/>
          <w:szCs w:val="32"/>
          <w:u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Cs w:val="32"/>
          <w:u w:val="none"/>
        </w:rPr>
        <w:t>日</w:t>
      </w:r>
      <w:r>
        <w:rPr>
          <w:rFonts w:hint="eastAsia" w:ascii="方正小标宋_GBK" w:hAnsi="华文中宋" w:eastAsia="方正小标宋_GBK"/>
          <w:bCs/>
          <w:spacing w:val="-6"/>
          <w:sz w:val="44"/>
          <w:u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firstLine="0" w:firstLineChars="0"/>
        <w:jc w:val="center"/>
        <w:textAlignment w:val="auto"/>
        <w:outlineLvl w:val="0"/>
        <w:rPr>
          <w:rFonts w:hint="eastAsia" w:ascii="方正小标宋_GBK" w:hAnsi="华文中宋" w:eastAsia="方正小标宋_GBK"/>
          <w:bCs/>
          <w:spacing w:val="-6"/>
          <w:sz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firstLine="0" w:firstLineChars="0"/>
        <w:jc w:val="center"/>
        <w:textAlignment w:val="auto"/>
        <w:outlineLvl w:val="0"/>
        <w:rPr>
          <w:rFonts w:hint="eastAsia" w:ascii="方正楷体_GBK" w:hAnsi="方正楷体_GBK" w:eastAsia="方正小标宋_GBK" w:cs="方正楷体_GBK"/>
          <w:bCs/>
          <w:szCs w:val="32"/>
          <w:u w:val="none"/>
          <w:lang w:val="en-US" w:eastAsia="zh-CN"/>
        </w:rPr>
      </w:pPr>
      <w:r>
        <w:rPr>
          <w:rFonts w:hint="eastAsia" w:ascii="方正小标宋_GBK" w:hAnsi="华文中宋" w:eastAsia="方正小标宋_GBK"/>
          <w:bCs/>
          <w:spacing w:val="-6"/>
          <w:sz w:val="44"/>
          <w:u w:val="none"/>
        </w:rPr>
        <w:t>重庆市</w:t>
      </w:r>
      <w:r>
        <w:rPr>
          <w:rFonts w:hint="eastAsia" w:ascii="方正小标宋_GBK" w:hAnsi="华文中宋" w:eastAsia="方正小标宋_GBK"/>
          <w:bCs/>
          <w:spacing w:val="-6"/>
          <w:sz w:val="44"/>
          <w:u w:val="none"/>
          <w:lang w:eastAsia="zh-CN"/>
        </w:rPr>
        <w:t>生产安全事故行政</w:t>
      </w:r>
      <w:r>
        <w:rPr>
          <w:rFonts w:hint="eastAsia" w:ascii="方正小标宋_GBK" w:hAnsi="华文中宋" w:eastAsia="方正小标宋_GBK"/>
          <w:bCs/>
          <w:spacing w:val="-6"/>
          <w:sz w:val="44"/>
          <w:u w:val="none"/>
        </w:rPr>
        <w:t>处罚裁量基准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hAnsi="方正黑体_GBK" w:eastAsia="方正黑体_GBK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仿宋"/>
          <w:szCs w:val="32"/>
          <w:u w:val="none"/>
        </w:rPr>
      </w:pPr>
      <w:r>
        <w:rPr>
          <w:rFonts w:hint="eastAsia" w:hAnsi="方正黑体_GBK" w:eastAsia="方正黑体_GBK"/>
          <w:szCs w:val="32"/>
          <w:u w:val="none"/>
        </w:rPr>
        <w:t>第一条</w:t>
      </w:r>
      <w:r>
        <w:rPr>
          <w:rFonts w:eastAsia="仿宋"/>
          <w:szCs w:val="32"/>
          <w:u w:val="none"/>
        </w:rPr>
        <w:t xml:space="preserve">  </w:t>
      </w:r>
      <w:r>
        <w:rPr>
          <w:rFonts w:hint="eastAsia" w:hAnsi="方正仿宋_GBK" w:eastAsia="方正仿宋_GBK"/>
          <w:bCs/>
          <w:szCs w:val="32"/>
          <w:u w:val="none"/>
        </w:rPr>
        <w:t>为</w:t>
      </w:r>
      <w:r>
        <w:rPr>
          <w:rFonts w:hint="eastAsia" w:ascii="Times New Roman" w:hAnsi="方正仿宋_GBK" w:eastAsia="方正仿宋_GBK" w:cs="Times New Roman"/>
          <w:bCs/>
          <w:szCs w:val="32"/>
          <w:u w:val="none"/>
        </w:rPr>
        <w:t>规范</w:t>
      </w:r>
      <w:r>
        <w:rPr>
          <w:rFonts w:hint="eastAsia" w:ascii="Times New Roman" w:hAnsi="方正仿宋_GBK" w:eastAsia="方正仿宋_GBK" w:cs="Times New Roman"/>
          <w:bCs/>
          <w:szCs w:val="32"/>
          <w:u w:val="none"/>
          <w:lang w:eastAsia="zh-CN"/>
        </w:rPr>
        <w:t>生产安全事故</w:t>
      </w:r>
      <w:r>
        <w:rPr>
          <w:rFonts w:hint="eastAsia" w:ascii="Times New Roman" w:hAnsi="方正仿宋_GBK" w:eastAsia="方正仿宋_GBK" w:cs="Times New Roman"/>
          <w:bCs/>
          <w:szCs w:val="32"/>
          <w:u w:val="none"/>
        </w:rPr>
        <w:t>行政处罚行为，正确行使</w:t>
      </w:r>
      <w:r>
        <w:rPr>
          <w:rFonts w:hint="eastAsia" w:ascii="Times New Roman" w:hAnsi="方正仿宋_GBK" w:eastAsia="方正仿宋_GBK" w:cs="Times New Roman"/>
          <w:bCs/>
          <w:szCs w:val="32"/>
          <w:u w:val="none"/>
          <w:lang w:eastAsia="zh-CN"/>
        </w:rPr>
        <w:t>行政</w:t>
      </w:r>
      <w:r>
        <w:rPr>
          <w:rFonts w:hint="eastAsia" w:ascii="Times New Roman" w:hAnsi="方正仿宋_GBK" w:eastAsia="方正仿宋_GBK" w:cs="Times New Roman"/>
          <w:bCs/>
          <w:szCs w:val="32"/>
          <w:u w:val="none"/>
        </w:rPr>
        <w:t>处罚裁量权，</w:t>
      </w:r>
      <w:r>
        <w:rPr>
          <w:rFonts w:hint="eastAsia" w:hAnsi="方正仿宋_GBK" w:eastAsia="方正仿宋_GBK"/>
          <w:bCs/>
          <w:szCs w:val="32"/>
          <w:u w:val="none"/>
        </w:rPr>
        <w:t>根据</w:t>
      </w:r>
      <w:r>
        <w:rPr>
          <w:rFonts w:hint="eastAsia" w:hAnsi="方正仿宋_GBK" w:eastAsia="方正仿宋_GBK"/>
          <w:bCs/>
          <w:spacing w:val="6"/>
          <w:szCs w:val="32"/>
          <w:u w:val="none"/>
        </w:rPr>
        <w:t>《</w:t>
      </w:r>
      <w:r>
        <w:rPr>
          <w:rFonts w:hint="eastAsia" w:hAnsi="方正仿宋_GBK" w:eastAsia="方正仿宋_GBK"/>
          <w:bCs/>
          <w:spacing w:val="6"/>
          <w:szCs w:val="32"/>
          <w:u w:val="none"/>
          <w:lang w:eastAsia="zh-CN"/>
        </w:rPr>
        <w:t>中华人民共和国安全生产法</w:t>
      </w:r>
      <w:r>
        <w:rPr>
          <w:rFonts w:hint="eastAsia" w:hAnsi="方正仿宋_GBK" w:eastAsia="方正仿宋_GBK"/>
          <w:bCs/>
          <w:spacing w:val="6"/>
          <w:szCs w:val="32"/>
          <w:u w:val="none"/>
        </w:rPr>
        <w:t>》</w:t>
      </w:r>
      <w:r>
        <w:rPr>
          <w:rFonts w:hint="eastAsia" w:hAnsi="方正仿宋_GBK" w:eastAsia="方正仿宋_GBK"/>
          <w:bCs/>
          <w:spacing w:val="6"/>
          <w:szCs w:val="32"/>
          <w:u w:val="none"/>
          <w:lang w:eastAsia="zh-CN"/>
        </w:rPr>
        <w:t>《生产安全事故调查报告条例》</w:t>
      </w:r>
      <w:r>
        <w:rPr>
          <w:rFonts w:hint="eastAsia" w:hAnsi="方正仿宋_GBK" w:eastAsia="方正仿宋_GBK"/>
          <w:bCs/>
          <w:spacing w:val="6"/>
          <w:szCs w:val="32"/>
          <w:u w:val="none"/>
        </w:rPr>
        <w:t>《重庆市规范行政处罚裁量权办法》</w:t>
      </w:r>
      <w:r>
        <w:rPr>
          <w:rFonts w:hint="eastAsia" w:hAnsi="方正仿宋_GBK" w:eastAsia="方正仿宋_GBK"/>
          <w:bCs/>
          <w:szCs w:val="32"/>
          <w:u w:val="none"/>
        </w:rPr>
        <w:t>等规定，结合工作实际，制定本基准。</w:t>
      </w:r>
      <w:r>
        <w:rPr>
          <w:rFonts w:eastAsia="方正仿宋_GBK"/>
          <w:bCs/>
          <w:szCs w:val="32"/>
          <w:u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仿宋"/>
          <w:color w:val="000000"/>
          <w:szCs w:val="32"/>
          <w:u w:val="none"/>
        </w:rPr>
      </w:pPr>
      <w:r>
        <w:rPr>
          <w:rFonts w:hint="eastAsia" w:hAnsi="方正黑体_GBK" w:eastAsia="方正黑体_GBK"/>
          <w:szCs w:val="32"/>
          <w:u w:val="none"/>
        </w:rPr>
        <w:t>第二条</w:t>
      </w:r>
      <w:r>
        <w:rPr>
          <w:rFonts w:eastAsia="仿宋"/>
          <w:szCs w:val="32"/>
          <w:u w:val="none"/>
        </w:rPr>
        <w:t xml:space="preserve">  </w:t>
      </w:r>
      <w:r>
        <w:rPr>
          <w:rFonts w:hint="eastAsia" w:hAnsi="方正仿宋_GBK" w:eastAsia="方正仿宋_GBK"/>
          <w:bCs/>
          <w:szCs w:val="32"/>
          <w:u w:val="none"/>
        </w:rPr>
        <w:t>本基准所称</w:t>
      </w:r>
      <w:r>
        <w:rPr>
          <w:rFonts w:hint="eastAsia" w:hAnsi="方正仿宋_GBK" w:eastAsia="方正仿宋_GBK"/>
          <w:bCs/>
          <w:szCs w:val="32"/>
          <w:u w:val="none"/>
          <w:lang w:eastAsia="zh-CN"/>
        </w:rPr>
        <w:t>生产安全事故行政</w:t>
      </w:r>
      <w:r>
        <w:rPr>
          <w:rFonts w:hint="eastAsia" w:hAnsi="方正仿宋_GBK" w:eastAsia="方正仿宋_GBK"/>
          <w:bCs/>
          <w:szCs w:val="32"/>
          <w:u w:val="none"/>
        </w:rPr>
        <w:t>处罚裁量权，是指</w:t>
      </w:r>
      <w:r>
        <w:rPr>
          <w:rFonts w:hint="eastAsia" w:hAnsi="方正仿宋_GBK" w:eastAsia="方正仿宋_GBK"/>
          <w:bCs/>
          <w:szCs w:val="32"/>
          <w:u w:val="none"/>
          <w:lang w:eastAsia="zh-CN"/>
        </w:rPr>
        <w:t>全市各级应急管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理部门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根据法律、法规和规章的规定，综合考虑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相对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人违法行为的事实、性质、情节以及社会危害程度等因素，决定是否给予处罚、给予什么处罚的权限。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hAnsi="方正黑体_GBK" w:eastAsia="方正黑体_GBK"/>
          <w:color w:val="000000"/>
          <w:szCs w:val="32"/>
          <w:u w:val="none"/>
        </w:rPr>
        <w:t>第三条</w:t>
      </w:r>
      <w:r>
        <w:rPr>
          <w:rFonts w:eastAsia="仿宋"/>
          <w:color w:val="000000"/>
          <w:szCs w:val="32"/>
          <w:u w:val="none"/>
        </w:rPr>
        <w:t xml:space="preserve">  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全市各级应急管理部门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行使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生产安全事故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行政处罚裁量权，适用本基准。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hAnsi="方正黑体_GBK" w:eastAsia="方正黑体_GBK"/>
          <w:color w:val="000000"/>
          <w:szCs w:val="32"/>
          <w:u w:val="none"/>
        </w:rPr>
        <w:t>第四条</w:t>
      </w:r>
      <w:r>
        <w:rPr>
          <w:rFonts w:eastAsia="方正黑体_GBK"/>
          <w:color w:val="000000"/>
          <w:szCs w:val="32"/>
          <w:u w:val="none"/>
        </w:rPr>
        <w:t xml:space="preserve"> </w:t>
      </w:r>
      <w:r>
        <w:rPr>
          <w:rFonts w:eastAsia="仿宋"/>
          <w:color w:val="000000"/>
          <w:szCs w:val="32"/>
          <w:u w:val="none"/>
        </w:rPr>
        <w:t xml:space="preserve"> 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生产安全事故行政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处罚裁量权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的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行使遵循合法、科学、公正、合理的原则，充分考虑违法行为的特点，突出对严重违法行为的惩处力度和对其他违法行为的震慑作用，鼓励和引导当事人及时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积极善后，消除事故影响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仿宋"/>
          <w:color w:val="000000"/>
          <w:szCs w:val="32"/>
          <w:u w:val="none"/>
        </w:rPr>
      </w:pPr>
      <w:r>
        <w:rPr>
          <w:rFonts w:hint="eastAsia" w:hAnsi="方正黑体_GBK" w:eastAsia="方正黑体_GBK"/>
          <w:color w:val="000000"/>
          <w:szCs w:val="32"/>
          <w:u w:val="none"/>
        </w:rPr>
        <w:t>第五条</w:t>
      </w:r>
      <w:r>
        <w:rPr>
          <w:rFonts w:eastAsia="方正黑体_GBK"/>
          <w:color w:val="000000"/>
          <w:szCs w:val="32"/>
          <w:u w:val="none"/>
        </w:rPr>
        <w:t xml:space="preserve"> </w:t>
      </w:r>
      <w:r>
        <w:rPr>
          <w:rFonts w:eastAsia="仿宋"/>
          <w:color w:val="000000"/>
          <w:szCs w:val="32"/>
          <w:u w:val="none"/>
        </w:rPr>
        <w:t xml:space="preserve"> 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生产安全事故行政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处罚的种类、幅度，应当与违法行为的事实、性质、情节以及社会危害程度相当。</w:t>
      </w:r>
      <w:r>
        <w:rPr>
          <w:rFonts w:eastAsia="方正仿宋_GBK"/>
          <w:bCs/>
          <w:color w:val="000000"/>
          <w:szCs w:val="32"/>
          <w:u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hAnsi="方正黑体_GBK" w:eastAsia="方正黑体_GBK"/>
          <w:color w:val="000000"/>
          <w:szCs w:val="32"/>
          <w:u w:val="none"/>
        </w:rPr>
        <w:t>第六条</w:t>
      </w:r>
      <w:r>
        <w:rPr>
          <w:rFonts w:eastAsia="仿宋"/>
          <w:color w:val="000000"/>
          <w:szCs w:val="32"/>
          <w:u w:val="none"/>
        </w:rPr>
        <w:t xml:space="preserve">  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行使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生产安全事故行政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处罚裁量权，应当综合、全面考虑以下情节：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hAnsi="方正仿宋_GBK" w:eastAsia="方正仿宋_GBK"/>
          <w:bCs/>
          <w:color w:val="000000"/>
          <w:szCs w:val="32"/>
          <w:u w:val="none"/>
        </w:rPr>
        <w:t>（一）违法行为造成的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人员伤亡、经济损失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以及社会影响；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hAnsi="方正仿宋_GBK" w:eastAsia="方正仿宋_GBK"/>
          <w:bCs/>
          <w:color w:val="000000"/>
          <w:szCs w:val="32"/>
          <w:u w:val="none"/>
        </w:rPr>
        <w:t>（二）违法行为当事人的主观过错程度；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hAnsi="方正仿宋_GBK" w:eastAsia="方正仿宋_GBK"/>
          <w:bCs/>
          <w:color w:val="000000"/>
          <w:szCs w:val="32"/>
          <w:u w:val="none"/>
        </w:rPr>
        <w:t>（三）违法行为的具体方式或者手段；</w:t>
      </w:r>
    </w:p>
    <w:p>
      <w:pPr>
        <w:keepNext w:val="0"/>
        <w:keepLines w:val="0"/>
        <w:pageBreakBefore w:val="0"/>
        <w:tabs>
          <w:tab w:val="left" w:pos="74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hAnsi="方正仿宋_GBK" w:eastAsia="方正仿宋_GBK"/>
          <w:bCs/>
          <w:color w:val="000000"/>
          <w:szCs w:val="32"/>
          <w:u w:val="none"/>
        </w:rPr>
        <w:t>（四）违法行为危害的具体对象；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hAnsi="方正仿宋_GBK" w:eastAsia="方正仿宋_GBK"/>
          <w:bCs/>
          <w:color w:val="000000"/>
          <w:szCs w:val="32"/>
          <w:u w:val="none"/>
        </w:rPr>
        <w:t>（五）违法行为当事人是初犯还是再犯；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hAnsi="方正仿宋_GBK" w:eastAsia="方正仿宋_GBK"/>
          <w:bCs/>
          <w:color w:val="000000"/>
          <w:szCs w:val="32"/>
          <w:u w:val="none"/>
        </w:rPr>
        <w:t>（六）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引发事故的隐患存在时间长短；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</w:pP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（七）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违法行为当事人改正违法行为的态度和所采取的改正措施及效果。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color w:val="000000"/>
          <w:sz w:val="32"/>
          <w:szCs w:val="32"/>
          <w:u w:val="none"/>
        </w:rPr>
      </w:pPr>
      <w:r>
        <w:rPr>
          <w:rFonts w:hint="eastAsia" w:hAnsi="方正仿宋_GBK" w:eastAsia="方正仿宋_GBK"/>
          <w:bCs/>
          <w:color w:val="000000"/>
          <w:szCs w:val="32"/>
          <w:u w:val="none"/>
        </w:rPr>
        <w:t>同类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生产安全事故</w:t>
      </w:r>
      <w:r>
        <w:rPr>
          <w:rFonts w:hint="eastAsia" w:hAnsi="方正仿宋_GBK" w:eastAsia="方正仿宋_GBK"/>
          <w:bCs/>
          <w:color w:val="000000"/>
          <w:sz w:val="32"/>
          <w:szCs w:val="32"/>
          <w:u w:val="none"/>
          <w:lang w:eastAsia="zh-CN"/>
        </w:rPr>
        <w:t>行政</w:t>
      </w:r>
      <w:r>
        <w:rPr>
          <w:rFonts w:hint="eastAsia" w:hAnsi="方正仿宋_GBK" w:eastAsia="方正仿宋_GBK"/>
          <w:bCs/>
          <w:color w:val="000000"/>
          <w:sz w:val="32"/>
          <w:szCs w:val="32"/>
          <w:u w:val="none"/>
        </w:rPr>
        <w:t>处罚的情节相同或者相似、社会危害程度相当的，处罚种类和幅度应当相当。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hAnsi="方正黑体_GBK" w:eastAsia="方正黑体_GBK"/>
          <w:color w:val="000000"/>
          <w:sz w:val="32"/>
          <w:szCs w:val="32"/>
          <w:u w:val="none"/>
        </w:rPr>
        <w:t>第</w:t>
      </w:r>
      <w:r>
        <w:rPr>
          <w:rFonts w:hint="eastAsia" w:hAnsi="方正黑体_GBK"/>
          <w:color w:val="000000"/>
          <w:sz w:val="32"/>
          <w:szCs w:val="32"/>
          <w:u w:val="none"/>
          <w:lang w:eastAsia="zh-CN"/>
        </w:rPr>
        <w:t>七</w:t>
      </w:r>
      <w:r>
        <w:rPr>
          <w:rFonts w:hint="eastAsia" w:hAnsi="方正黑体_GBK" w:eastAsia="方正黑体_GBK"/>
          <w:color w:val="000000"/>
          <w:sz w:val="32"/>
          <w:szCs w:val="32"/>
          <w:u w:val="none"/>
        </w:rPr>
        <w:t>条</w:t>
      </w:r>
      <w:r>
        <w:rPr>
          <w:rFonts w:eastAsia="仿宋"/>
          <w:color w:val="000000"/>
          <w:sz w:val="32"/>
          <w:szCs w:val="32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对生产安全事故负有责任的生产经营责任单位有以下行为之一的，应当从轻处罚：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（一）积极处理事故善后，没有造成不良社会影响的；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（二）主动消除或者减轻事故危害后果的；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（三）积极主动配合事故调查并及时推进事故隐患整改的；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（四）事故违法行为主观恶性不大的；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（五）在共同负有事故责任中责任较轻的；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（六）法律、法规、规章和其他规范性文件规定的其他从轻处罚情形。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hAnsi="方正黑体_GBK" w:eastAsia="方正黑体_GBK"/>
          <w:color w:val="000000"/>
          <w:sz w:val="32"/>
          <w:szCs w:val="32"/>
          <w:u w:val="none"/>
        </w:rPr>
        <w:t>第</w:t>
      </w:r>
      <w:r>
        <w:rPr>
          <w:rFonts w:hint="eastAsia" w:hAnsi="方正黑体_GBK"/>
          <w:color w:val="000000"/>
          <w:sz w:val="32"/>
          <w:szCs w:val="32"/>
          <w:u w:val="none"/>
          <w:lang w:eastAsia="zh-CN"/>
        </w:rPr>
        <w:t>八</w:t>
      </w:r>
      <w:r>
        <w:rPr>
          <w:rFonts w:hint="eastAsia" w:hAnsi="方正黑体_GBK" w:eastAsia="方正黑体_GBK"/>
          <w:color w:val="000000"/>
          <w:sz w:val="32"/>
          <w:szCs w:val="32"/>
          <w:u w:val="none"/>
        </w:rPr>
        <w:t>条</w:t>
      </w:r>
      <w:r>
        <w:rPr>
          <w:rFonts w:eastAsia="方正黑体_GBK"/>
          <w:color w:val="000000"/>
          <w:sz w:val="32"/>
          <w:szCs w:val="32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对生产安全事故负有责任的生产经营责任单位有以下行为之一的，应当从重处罚：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（一）未能及时处理事故善后，造成不良社会影响的；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（二）事故处置不当导致事故危害后果扩大的；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（三）不配合事故调查或未及时推进事故整改的；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（四）事故违法行为的主观恶性较大或违法行为突出的；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（五）在共同负有事故责任中责任较重的；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highlight w:val="none"/>
          <w:u w:val="none"/>
          <w:lang w:val="en-US" w:eastAsia="zh-CN" w:bidi="ar-SA"/>
        </w:rPr>
        <w:t>（六）法律、法规、规章和其他规范性文件规定的其他从重处罚情形。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szCs w:val="32"/>
          <w:u w:val="none"/>
        </w:rPr>
      </w:pPr>
      <w:r>
        <w:rPr>
          <w:rFonts w:hint="eastAsia" w:hAnsi="方正黑体_GBK" w:eastAsia="方正黑体_GBK"/>
          <w:color w:val="000000"/>
          <w:szCs w:val="32"/>
          <w:u w:val="none"/>
        </w:rPr>
        <w:t>第</w:t>
      </w:r>
      <w:r>
        <w:rPr>
          <w:rFonts w:hint="eastAsia" w:hAnsi="方正黑体_GBK" w:eastAsia="方正黑体_GBK"/>
          <w:color w:val="000000"/>
          <w:szCs w:val="32"/>
          <w:u w:val="none"/>
          <w:lang w:eastAsia="zh-CN"/>
        </w:rPr>
        <w:t>九</w:t>
      </w:r>
      <w:r>
        <w:rPr>
          <w:rFonts w:hint="eastAsia" w:hAnsi="方正黑体_GBK" w:eastAsia="方正黑体_GBK"/>
          <w:color w:val="000000"/>
          <w:szCs w:val="32"/>
          <w:u w:val="none"/>
        </w:rPr>
        <w:t>条</w:t>
      </w:r>
      <w:r>
        <w:rPr>
          <w:rFonts w:eastAsia="仿宋"/>
          <w:color w:val="000000"/>
          <w:szCs w:val="32"/>
          <w:u w:val="none"/>
        </w:rPr>
        <w:t xml:space="preserve">  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除法律、法规和规章另有规定外，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生产安全事故行政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处罚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相对人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具有多种违法情节的，按</w:t>
      </w:r>
      <w:r>
        <w:rPr>
          <w:rFonts w:hint="eastAsia" w:hAnsi="方正仿宋_GBK" w:eastAsia="方正仿宋_GBK"/>
          <w:bCs/>
          <w:szCs w:val="32"/>
          <w:u w:val="none"/>
        </w:rPr>
        <w:t>照下列规则实施处罚：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szCs w:val="32"/>
          <w:u w:val="none"/>
        </w:rPr>
      </w:pPr>
      <w:r>
        <w:rPr>
          <w:rFonts w:hint="eastAsia" w:hAnsi="方正仿宋_GBK" w:eastAsia="方正仿宋_GBK"/>
          <w:bCs/>
          <w:szCs w:val="32"/>
          <w:u w:val="none"/>
        </w:rPr>
        <w:t>（一）具有两个或者两个以上从轻情节且不具有从重情节的，</w:t>
      </w:r>
      <w:r>
        <w:rPr>
          <w:rFonts w:hint="eastAsia" w:hAnsi="方正仿宋_GBK" w:eastAsia="方正仿宋_GBK"/>
          <w:bCs/>
          <w:szCs w:val="32"/>
          <w:u w:val="none"/>
          <w:lang w:eastAsia="zh-CN"/>
        </w:rPr>
        <w:t>可以</w:t>
      </w:r>
      <w:r>
        <w:rPr>
          <w:rFonts w:hint="eastAsia" w:hAnsi="方正仿宋_GBK" w:eastAsia="方正仿宋_GBK"/>
          <w:bCs/>
          <w:szCs w:val="32"/>
          <w:u w:val="none"/>
        </w:rPr>
        <w:t>按最低处罚幅度实施处罚；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方正仿宋_GBK" w:eastAsia="方正仿宋_GBK" w:cs="Times New Roman"/>
          <w:bCs/>
          <w:szCs w:val="32"/>
          <w:u w:val="none"/>
        </w:rPr>
      </w:pPr>
      <w:r>
        <w:rPr>
          <w:rFonts w:hint="eastAsia" w:hAnsi="方正仿宋_GBK" w:eastAsia="方正仿宋_GBK"/>
          <w:bCs/>
          <w:szCs w:val="32"/>
          <w:u w:val="none"/>
        </w:rPr>
        <w:t>（二）具有两个或者两</w:t>
      </w:r>
      <w:r>
        <w:rPr>
          <w:rFonts w:hint="eastAsia" w:ascii="Times New Roman" w:hAnsi="方正仿宋_GBK" w:eastAsia="方正仿宋_GBK" w:cs="Times New Roman"/>
          <w:bCs/>
          <w:szCs w:val="32"/>
          <w:u w:val="none"/>
        </w:rPr>
        <w:t>个以上从重情节且不具有从轻情节的，</w:t>
      </w:r>
      <w:r>
        <w:rPr>
          <w:rFonts w:hint="eastAsia" w:ascii="Times New Roman" w:hAnsi="方正仿宋_GBK" w:eastAsia="方正仿宋_GBK" w:cs="Times New Roman"/>
          <w:bCs/>
          <w:szCs w:val="32"/>
          <w:u w:val="none"/>
          <w:lang w:eastAsia="zh-CN"/>
        </w:rPr>
        <w:t>可以</w:t>
      </w:r>
      <w:r>
        <w:rPr>
          <w:rFonts w:hint="eastAsia" w:ascii="Times New Roman" w:hAnsi="方正仿宋_GBK" w:eastAsia="方正仿宋_GBK" w:cs="Times New Roman"/>
          <w:bCs/>
          <w:szCs w:val="32"/>
          <w:u w:val="none"/>
        </w:rPr>
        <w:t>按最高处罚幅度实施处罚；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ascii="Times New Roman" w:hAnsi="方正仿宋_GBK" w:eastAsia="方正仿宋_GBK" w:cs="Times New Roman"/>
          <w:bCs/>
          <w:szCs w:val="32"/>
          <w:u w:val="none"/>
        </w:rPr>
      </w:pPr>
      <w:r>
        <w:rPr>
          <w:rFonts w:hint="eastAsia" w:ascii="Times New Roman" w:hAnsi="方正仿宋_GBK" w:eastAsia="方正仿宋_GBK" w:cs="Times New Roman"/>
          <w:bCs/>
          <w:szCs w:val="32"/>
          <w:u w:val="none"/>
          <w:lang w:eastAsia="zh-CN"/>
        </w:rPr>
        <w:t>（三）</w:t>
      </w:r>
      <w:r>
        <w:rPr>
          <w:rFonts w:hint="eastAsia" w:ascii="Times New Roman" w:hAnsi="方正仿宋_GBK" w:eastAsia="方正仿宋_GBK" w:cs="Times New Roman"/>
          <w:bCs/>
          <w:szCs w:val="32"/>
          <w:u w:val="none"/>
        </w:rPr>
        <w:t>情节特别严重、影响特别恶劣的</w:t>
      </w:r>
      <w:r>
        <w:rPr>
          <w:rFonts w:hint="eastAsia" w:ascii="Times New Roman" w:hAnsi="方正仿宋_GBK" w:eastAsia="方正仿宋_GBK" w:cs="Times New Roman"/>
          <w:bCs/>
          <w:szCs w:val="32"/>
          <w:u w:val="none"/>
          <w:lang w:eastAsia="zh-CN"/>
        </w:rPr>
        <w:t>事故责任单位</w:t>
      </w:r>
      <w:r>
        <w:rPr>
          <w:rFonts w:hint="eastAsia" w:ascii="Times New Roman" w:hAnsi="方正仿宋_GBK" w:eastAsia="方正仿宋_GBK" w:cs="Times New Roman"/>
          <w:bCs/>
          <w:szCs w:val="32"/>
          <w:u w:val="none"/>
        </w:rPr>
        <w:t>，可以按照</w:t>
      </w:r>
      <w:r>
        <w:rPr>
          <w:rFonts w:hint="eastAsia" w:ascii="Times New Roman" w:hAnsi="方正仿宋_GBK" w:eastAsia="方正仿宋_GBK" w:cs="Times New Roman"/>
          <w:bCs/>
          <w:szCs w:val="32"/>
          <w:u w:val="none"/>
          <w:lang w:eastAsia="zh-CN"/>
        </w:rPr>
        <w:t>对应</w:t>
      </w:r>
      <w:r>
        <w:rPr>
          <w:rFonts w:hint="eastAsia" w:ascii="Times New Roman" w:hAnsi="方正仿宋_GBK" w:eastAsia="方正仿宋_GBK" w:cs="Times New Roman"/>
          <w:bCs/>
          <w:szCs w:val="32"/>
          <w:u w:val="none"/>
        </w:rPr>
        <w:t>罚款数额的二倍以上五倍以下</w:t>
      </w:r>
      <w:r>
        <w:rPr>
          <w:rFonts w:hint="eastAsia" w:ascii="Times New Roman" w:hAnsi="方正仿宋_GBK" w:eastAsia="方正仿宋_GBK" w:cs="Times New Roman"/>
          <w:bCs/>
          <w:szCs w:val="32"/>
          <w:u w:val="none"/>
          <w:lang w:eastAsia="zh-CN"/>
        </w:rPr>
        <w:t>进行处罚；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szCs w:val="32"/>
          <w:u w:val="none"/>
        </w:rPr>
      </w:pPr>
      <w:r>
        <w:rPr>
          <w:rFonts w:hint="eastAsia" w:hAnsi="方正仿宋_GBK" w:eastAsia="方正仿宋_GBK"/>
          <w:bCs/>
          <w:szCs w:val="32"/>
          <w:u w:val="none"/>
        </w:rPr>
        <w:t>（</w:t>
      </w:r>
      <w:r>
        <w:rPr>
          <w:rFonts w:hint="eastAsia" w:hAnsi="方正仿宋_GBK" w:eastAsia="方正仿宋_GBK"/>
          <w:bCs/>
          <w:szCs w:val="32"/>
          <w:u w:val="none"/>
          <w:lang w:eastAsia="zh-CN"/>
        </w:rPr>
        <w:t>四</w:t>
      </w:r>
      <w:r>
        <w:rPr>
          <w:rFonts w:hint="eastAsia" w:hAnsi="方正仿宋_GBK" w:eastAsia="方正仿宋_GBK"/>
          <w:bCs/>
          <w:szCs w:val="32"/>
          <w:u w:val="none"/>
        </w:rPr>
        <w:t>）同时具有从重、从轻情节的，应当在综合考虑的基础上确定处罚幅度并实施处罚。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szCs w:val="32"/>
          <w:u w:val="none"/>
        </w:rPr>
      </w:pPr>
      <w:r>
        <w:rPr>
          <w:rFonts w:hint="eastAsia" w:hAnsi="方正黑体_GBK" w:eastAsia="方正黑体_GBK"/>
          <w:szCs w:val="32"/>
          <w:u w:val="none"/>
        </w:rPr>
        <w:t>第十条</w:t>
      </w:r>
      <w:r>
        <w:rPr>
          <w:rFonts w:eastAsia="仿宋"/>
          <w:szCs w:val="32"/>
          <w:u w:val="none"/>
        </w:rPr>
        <w:t xml:space="preserve">  </w:t>
      </w:r>
      <w:r>
        <w:rPr>
          <w:rFonts w:hint="eastAsia" w:hAnsi="方正仿宋_GBK" w:eastAsia="方正仿宋_GBK"/>
          <w:bCs/>
          <w:szCs w:val="32"/>
          <w:u w:val="none"/>
        </w:rPr>
        <w:t>除法律、法规和规章另有规定外，</w:t>
      </w:r>
      <w:r>
        <w:rPr>
          <w:rFonts w:hint="eastAsia" w:hAnsi="方正仿宋_GBK" w:eastAsia="方正仿宋_GBK"/>
          <w:bCs/>
          <w:szCs w:val="32"/>
          <w:u w:val="none"/>
          <w:lang w:eastAsia="zh-CN"/>
        </w:rPr>
        <w:t>生产安全事故行政</w:t>
      </w:r>
      <w:r>
        <w:rPr>
          <w:rFonts w:hint="eastAsia" w:hAnsi="方正仿宋_GBK" w:eastAsia="方正仿宋_GBK"/>
          <w:bCs/>
          <w:szCs w:val="32"/>
          <w:u w:val="none"/>
        </w:rPr>
        <w:t>处罚数额按照以下规则确定：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szCs w:val="32"/>
          <w:u w:val="none"/>
        </w:rPr>
      </w:pPr>
      <w:r>
        <w:rPr>
          <w:rFonts w:hint="eastAsia" w:hAnsi="方正仿宋_GBK" w:eastAsia="方正仿宋_GBK"/>
          <w:bCs/>
          <w:szCs w:val="32"/>
          <w:u w:val="none"/>
        </w:rPr>
        <w:t>（一）罚款为一定金额的倍数的，从轻处罚应当低于中间倍数，从重处罚应当高于中间倍数；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eastAsia="方正仿宋_GBK"/>
          <w:bCs/>
          <w:color w:val="000000"/>
          <w:szCs w:val="32"/>
          <w:u w:val="none"/>
          <w:lang w:eastAsia="zh-CN"/>
        </w:rPr>
      </w:pPr>
      <w:r>
        <w:rPr>
          <w:rFonts w:hint="eastAsia" w:hAnsi="方正仿宋_GBK" w:eastAsia="方正仿宋_GBK"/>
          <w:bCs/>
          <w:szCs w:val="32"/>
          <w:u w:val="none"/>
        </w:rPr>
        <w:t>（二）罚款为一定幅度的数额的，从轻处罚应当低于最高罚款数额与最低罚款数额的平均值，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从重处罚应当高于平均值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hAnsi="方正黑体_GBK" w:eastAsia="方正黑体_GBK"/>
          <w:color w:val="000000"/>
          <w:szCs w:val="32"/>
          <w:u w:val="none"/>
        </w:rPr>
        <w:t>第十</w:t>
      </w:r>
      <w:r>
        <w:rPr>
          <w:rFonts w:hint="eastAsia" w:hAnsi="方正黑体_GBK" w:eastAsia="方正黑体_GBK"/>
          <w:color w:val="000000"/>
          <w:szCs w:val="32"/>
          <w:u w:val="none"/>
          <w:lang w:eastAsia="zh-CN"/>
        </w:rPr>
        <w:t>一</w:t>
      </w:r>
      <w:r>
        <w:rPr>
          <w:rFonts w:hint="eastAsia" w:hAnsi="方正黑体_GBK" w:eastAsia="方正黑体_GBK"/>
          <w:color w:val="000000"/>
          <w:szCs w:val="32"/>
          <w:u w:val="none"/>
        </w:rPr>
        <w:t>条</w:t>
      </w:r>
      <w:r>
        <w:rPr>
          <w:rFonts w:eastAsia="仿宋"/>
          <w:color w:val="000000"/>
          <w:spacing w:val="-6"/>
          <w:szCs w:val="32"/>
          <w:u w:val="none"/>
        </w:rPr>
        <w:t xml:space="preserve">  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生产安全事故行政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处罚不得出现下列情形：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hAnsi="方正仿宋_GBK" w:eastAsia="方正仿宋_GBK"/>
          <w:bCs/>
          <w:color w:val="000000"/>
          <w:szCs w:val="32"/>
          <w:u w:val="none"/>
        </w:rPr>
        <w:t>（一）对依法应当不予处罚的情形而实施处罚；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hAnsi="方正仿宋_GBK" w:eastAsia="方正仿宋_GBK"/>
          <w:bCs/>
          <w:color w:val="000000"/>
          <w:szCs w:val="32"/>
          <w:u w:val="none"/>
        </w:rPr>
        <w:t>（二）对依法应当从轻、从重处罚的情形，而未予从轻、从重；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hAnsi="方正仿宋_GBK" w:eastAsia="方正仿宋_GBK"/>
          <w:bCs/>
          <w:color w:val="000000"/>
          <w:szCs w:val="32"/>
          <w:u w:val="none"/>
        </w:rPr>
        <w:t>（三）在同类案件中，不同当事人的违法行为的事实、性质、情节以及社会危害程度相同或者基本相同，但所受处罚明显不同；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hAnsi="方正仿宋_GBK" w:eastAsia="方正仿宋_GBK"/>
          <w:bCs/>
          <w:color w:val="000000"/>
          <w:szCs w:val="32"/>
          <w:u w:val="none"/>
        </w:rPr>
        <w:t>（四）法律、法规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、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规章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和其他规范性文件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禁止出现的其他情形。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hAnsi="方正黑体_GBK" w:eastAsia="方正黑体_GBK"/>
          <w:color w:val="000000"/>
          <w:szCs w:val="32"/>
          <w:u w:val="none"/>
        </w:rPr>
        <w:t>第十</w:t>
      </w:r>
      <w:r>
        <w:rPr>
          <w:rFonts w:hint="eastAsia" w:hAnsi="方正黑体_GBK" w:eastAsia="方正黑体_GBK"/>
          <w:color w:val="000000"/>
          <w:szCs w:val="32"/>
          <w:u w:val="none"/>
          <w:lang w:eastAsia="zh-CN"/>
        </w:rPr>
        <w:t>二</w:t>
      </w:r>
      <w:r>
        <w:rPr>
          <w:rFonts w:hint="eastAsia" w:hAnsi="方正黑体_GBK" w:eastAsia="方正黑体_GBK"/>
          <w:color w:val="000000"/>
          <w:szCs w:val="32"/>
          <w:u w:val="none"/>
        </w:rPr>
        <w:t>条</w:t>
      </w:r>
      <w:r>
        <w:rPr>
          <w:rFonts w:eastAsia="仿宋"/>
          <w:color w:val="000000"/>
          <w:szCs w:val="32"/>
          <w:u w:val="none"/>
        </w:rPr>
        <w:t xml:space="preserve"> 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违法案件调查取证过程中，调查人员应当全面调取有关违法行为和情节的证据。在提交行政处罚案件调查材料时，应当同时提交违法行为的定性证据和有关裁量情节的定量证据。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hAnsi="方正仿宋_GBK" w:eastAsia="方正仿宋_GBK"/>
          <w:bCs/>
          <w:color w:val="000000"/>
          <w:szCs w:val="32"/>
          <w:u w:val="none"/>
        </w:rPr>
      </w:pPr>
      <w:r>
        <w:rPr>
          <w:rFonts w:hint="eastAsia" w:hAnsi="方正黑体_GBK" w:eastAsia="方正黑体_GBK"/>
          <w:color w:val="000000"/>
          <w:szCs w:val="32"/>
          <w:u w:val="none"/>
        </w:rPr>
        <w:t>第十</w:t>
      </w:r>
      <w:r>
        <w:rPr>
          <w:rFonts w:hint="eastAsia" w:hAnsi="方正黑体_GBK" w:eastAsia="方正黑体_GBK"/>
          <w:color w:val="000000"/>
          <w:szCs w:val="32"/>
          <w:u w:val="none"/>
          <w:lang w:eastAsia="zh-CN"/>
        </w:rPr>
        <w:t>三</w:t>
      </w:r>
      <w:r>
        <w:rPr>
          <w:rFonts w:hint="eastAsia" w:hAnsi="方正黑体_GBK" w:eastAsia="方正黑体_GBK"/>
          <w:color w:val="000000"/>
          <w:szCs w:val="32"/>
          <w:u w:val="none"/>
        </w:rPr>
        <w:t>条</w:t>
      </w:r>
      <w:r>
        <w:rPr>
          <w:rFonts w:eastAsia="方正黑体_GBK"/>
          <w:color w:val="000000"/>
          <w:szCs w:val="32"/>
          <w:u w:val="none"/>
        </w:rPr>
        <w:t xml:space="preserve">  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行政处罚案件审查过程中，案件审查人员应当严格遵守裁量规则和裁量标准，对具体案件的处罚额度提出合理的裁量建议。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hAnsi="方正仿宋_GBK" w:eastAsia="方正仿宋_GBK"/>
          <w:bCs/>
          <w:color w:val="000000"/>
          <w:szCs w:val="32"/>
          <w:u w:val="none"/>
        </w:rPr>
        <w:t>经集体审议的案件应当专门对案件处罚裁量情况进行审议，书面记录审议结果并随案卷归档。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hAnsi="方正黑体_GBK" w:eastAsia="方正黑体_GBK"/>
          <w:color w:val="000000"/>
          <w:szCs w:val="32"/>
          <w:u w:val="none"/>
        </w:rPr>
        <w:t>第</w:t>
      </w:r>
      <w:r>
        <w:rPr>
          <w:rFonts w:hint="eastAsia" w:hAnsi="方正黑体_GBK" w:eastAsia="方正黑体_GBK"/>
          <w:color w:val="000000"/>
          <w:szCs w:val="32"/>
          <w:u w:val="none"/>
          <w:lang w:eastAsia="zh-CN"/>
        </w:rPr>
        <w:t>十四</w:t>
      </w:r>
      <w:r>
        <w:rPr>
          <w:rFonts w:hint="eastAsia" w:hAnsi="方正黑体_GBK" w:eastAsia="方正黑体_GBK"/>
          <w:color w:val="000000"/>
          <w:szCs w:val="32"/>
          <w:u w:val="none"/>
        </w:rPr>
        <w:t>条</w:t>
      </w:r>
      <w:r>
        <w:rPr>
          <w:rFonts w:eastAsia="仿宋"/>
          <w:color w:val="000000"/>
          <w:szCs w:val="32"/>
          <w:u w:val="none"/>
        </w:rPr>
        <w:t xml:space="preserve">  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各级应急管理部门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应当在告知当事人行政处罚有关违法事实、证据、处罚依据时，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应当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一并告知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拟实施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行政处罚</w:t>
      </w:r>
      <w:r>
        <w:rPr>
          <w:rFonts w:hint="eastAsia" w:hAnsi="方正仿宋_GBK" w:eastAsia="方正仿宋_GBK"/>
          <w:bCs/>
          <w:color w:val="000000"/>
          <w:szCs w:val="32"/>
          <w:u w:val="none"/>
          <w:lang w:eastAsia="zh-CN"/>
        </w:rPr>
        <w:t>的具体额度、</w:t>
      </w:r>
      <w:r>
        <w:rPr>
          <w:rFonts w:hint="eastAsia" w:hAnsi="方正仿宋_GBK" w:eastAsia="方正仿宋_GBK"/>
          <w:bCs/>
          <w:color w:val="000000"/>
          <w:szCs w:val="32"/>
          <w:u w:val="none"/>
        </w:rPr>
        <w:t>裁量权的适用依据及其陈述申辩权利。当事人陈述申辩时对处罚裁量适用提出异议的，应当对异议情况进行核查并对合理意见予以采纳，不得因当事人的陈述申辩而加重处罚。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仿宋"/>
          <w:color w:val="000000"/>
          <w:szCs w:val="32"/>
          <w:u w:val="none"/>
        </w:rPr>
      </w:pPr>
      <w:r>
        <w:rPr>
          <w:rFonts w:hint="eastAsia" w:hAnsi="方正黑体_GBK" w:eastAsia="方正黑体_GBK"/>
          <w:color w:val="000000"/>
          <w:szCs w:val="32"/>
          <w:u w:val="none"/>
        </w:rPr>
        <w:t>第</w:t>
      </w:r>
      <w:r>
        <w:rPr>
          <w:rFonts w:hint="eastAsia" w:hAnsi="方正黑体_GBK" w:eastAsia="方正黑体_GBK"/>
          <w:color w:val="000000"/>
          <w:szCs w:val="32"/>
          <w:u w:val="none"/>
          <w:lang w:eastAsia="zh-CN"/>
        </w:rPr>
        <w:t>十五</w:t>
      </w:r>
      <w:r>
        <w:rPr>
          <w:rFonts w:hint="eastAsia" w:hAnsi="方正黑体_GBK" w:eastAsia="方正黑体_GBK"/>
          <w:color w:val="000000"/>
          <w:szCs w:val="32"/>
          <w:u w:val="none"/>
        </w:rPr>
        <w:t>条</w:t>
      </w:r>
      <w:r>
        <w:rPr>
          <w:rFonts w:eastAsia="方正黑体_GBK"/>
          <w:color w:val="000000"/>
          <w:szCs w:val="32"/>
          <w:u w:val="none"/>
        </w:rPr>
        <w:t xml:space="preserve"> </w:t>
      </w:r>
      <w:r>
        <w:rPr>
          <w:rFonts w:eastAsia="方正仿宋_GBK"/>
          <w:bCs/>
          <w:color w:val="000000"/>
          <w:szCs w:val="32"/>
          <w:u w:val="none"/>
        </w:rPr>
        <w:t xml:space="preserve"> </w:t>
      </w:r>
      <w:r>
        <w:rPr>
          <w:rFonts w:hint="eastAsia" w:eastAsia="方正仿宋_GBK"/>
          <w:bCs/>
          <w:color w:val="000000"/>
          <w:szCs w:val="32"/>
          <w:u w:val="none"/>
        </w:rPr>
        <w:t>作出行政处罚决定时，应当在处罚决定书中载明行政处罚裁量的适用依据和理由，以及对当事人关于裁量的陈述申辩意见的采纳情况和理由。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eastAsia="方正黑体_GBK"/>
          <w:color w:val="000000"/>
          <w:szCs w:val="32"/>
          <w:u w:val="none"/>
        </w:rPr>
        <w:t>第</w:t>
      </w:r>
      <w:r>
        <w:rPr>
          <w:rFonts w:hint="eastAsia" w:eastAsia="方正黑体_GBK"/>
          <w:color w:val="000000"/>
          <w:szCs w:val="32"/>
          <w:u w:val="none"/>
          <w:lang w:eastAsia="zh-CN"/>
        </w:rPr>
        <w:t>十六</w:t>
      </w:r>
      <w:r>
        <w:rPr>
          <w:rFonts w:hint="eastAsia" w:eastAsia="方正黑体_GBK"/>
          <w:color w:val="000000"/>
          <w:szCs w:val="32"/>
          <w:u w:val="none"/>
        </w:rPr>
        <w:t>条</w:t>
      </w:r>
      <w:r>
        <w:rPr>
          <w:rFonts w:eastAsia="仿宋"/>
          <w:color w:val="000000"/>
          <w:szCs w:val="32"/>
          <w:u w:val="none"/>
        </w:rPr>
        <w:t xml:space="preserve">  </w:t>
      </w:r>
      <w:r>
        <w:rPr>
          <w:rFonts w:hint="eastAsia" w:eastAsia="方正仿宋_GBK"/>
          <w:bCs/>
          <w:color w:val="000000"/>
          <w:szCs w:val="32"/>
          <w:u w:val="none"/>
          <w:lang w:eastAsia="zh-CN"/>
        </w:rPr>
        <w:t>各级应急管理部门生产安全事故</w:t>
      </w:r>
      <w:r>
        <w:rPr>
          <w:rFonts w:hint="eastAsia" w:eastAsia="方正仿宋_GBK"/>
          <w:bCs/>
          <w:color w:val="000000"/>
          <w:szCs w:val="32"/>
          <w:u w:val="none"/>
        </w:rPr>
        <w:t>行政处罚裁量权行使违法或者确有不当的，应当依法主动、及时纠正，上级</w:t>
      </w:r>
      <w:r>
        <w:rPr>
          <w:rFonts w:hint="eastAsia" w:eastAsia="方正仿宋_GBK"/>
          <w:bCs/>
          <w:color w:val="000000"/>
          <w:szCs w:val="32"/>
          <w:u w:val="none"/>
          <w:lang w:eastAsia="zh-CN"/>
        </w:rPr>
        <w:t>应急管理</w:t>
      </w:r>
      <w:r>
        <w:rPr>
          <w:rFonts w:hint="eastAsia" w:eastAsia="方正仿宋_GBK"/>
          <w:bCs/>
          <w:color w:val="000000"/>
          <w:szCs w:val="32"/>
          <w:u w:val="none"/>
        </w:rPr>
        <w:t>部门也可依法责令改正或者纠正。</w:t>
      </w:r>
      <w:r>
        <w:rPr>
          <w:rFonts w:eastAsia="方正仿宋_GBK"/>
          <w:bCs/>
          <w:color w:val="000000"/>
          <w:szCs w:val="32"/>
          <w:u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eastAsia="方正仿宋_GBK"/>
          <w:bCs/>
          <w:color w:val="000000"/>
          <w:szCs w:val="32"/>
          <w:u w:val="none"/>
        </w:rPr>
      </w:pPr>
      <w:r>
        <w:rPr>
          <w:rFonts w:hint="eastAsia" w:eastAsia="方正黑体_GBK"/>
          <w:color w:val="000000"/>
          <w:szCs w:val="32"/>
          <w:u w:val="none"/>
        </w:rPr>
        <w:t>第</w:t>
      </w:r>
      <w:r>
        <w:rPr>
          <w:rFonts w:hint="eastAsia" w:eastAsia="方正黑体_GBK"/>
          <w:color w:val="000000"/>
          <w:szCs w:val="32"/>
          <w:u w:val="none"/>
          <w:lang w:eastAsia="zh-CN"/>
        </w:rPr>
        <w:t>十七</w:t>
      </w:r>
      <w:r>
        <w:rPr>
          <w:rFonts w:hint="eastAsia" w:eastAsia="方正黑体_GBK"/>
          <w:color w:val="000000"/>
          <w:szCs w:val="32"/>
          <w:u w:val="none"/>
        </w:rPr>
        <w:t>条</w:t>
      </w:r>
      <w:r>
        <w:rPr>
          <w:rFonts w:eastAsia="仿宋"/>
          <w:color w:val="000000"/>
          <w:szCs w:val="32"/>
          <w:u w:val="none"/>
        </w:rPr>
        <w:t xml:space="preserve">  </w:t>
      </w:r>
      <w:r>
        <w:rPr>
          <w:rFonts w:hint="eastAsia" w:eastAsia="方正仿宋_GBK"/>
          <w:bCs/>
          <w:color w:val="000000"/>
          <w:szCs w:val="32"/>
          <w:u w:val="none"/>
        </w:rPr>
        <w:t>法律、法规</w:t>
      </w:r>
      <w:r>
        <w:rPr>
          <w:rFonts w:hint="eastAsia" w:eastAsia="方正仿宋_GBK"/>
          <w:bCs/>
          <w:color w:val="000000"/>
          <w:szCs w:val="32"/>
          <w:u w:val="none"/>
          <w:lang w:eastAsia="zh-CN"/>
        </w:rPr>
        <w:t>、</w:t>
      </w:r>
      <w:r>
        <w:rPr>
          <w:rFonts w:hint="eastAsia" w:eastAsia="方正仿宋_GBK"/>
          <w:bCs/>
          <w:color w:val="000000"/>
          <w:szCs w:val="32"/>
          <w:u w:val="none"/>
        </w:rPr>
        <w:t>规章</w:t>
      </w:r>
      <w:r>
        <w:rPr>
          <w:rFonts w:hint="eastAsia" w:eastAsia="方正仿宋_GBK"/>
          <w:bCs/>
          <w:color w:val="000000"/>
          <w:szCs w:val="32"/>
          <w:u w:val="none"/>
          <w:lang w:eastAsia="zh-CN"/>
        </w:rPr>
        <w:t>和其他规范性文件</w:t>
      </w:r>
      <w:r>
        <w:rPr>
          <w:rFonts w:hint="eastAsia" w:eastAsia="方正仿宋_GBK"/>
          <w:bCs/>
          <w:color w:val="000000"/>
          <w:szCs w:val="32"/>
          <w:u w:val="none"/>
        </w:rPr>
        <w:t>对</w:t>
      </w:r>
      <w:r>
        <w:rPr>
          <w:rFonts w:hint="eastAsia" w:eastAsia="方正仿宋_GBK"/>
          <w:bCs/>
          <w:color w:val="000000"/>
          <w:szCs w:val="32"/>
          <w:u w:val="none"/>
          <w:lang w:eastAsia="zh-CN"/>
        </w:rPr>
        <w:t>生产安全事故</w:t>
      </w:r>
      <w:r>
        <w:rPr>
          <w:rFonts w:hint="eastAsia" w:eastAsia="方正仿宋_GBK"/>
          <w:bCs/>
          <w:color w:val="000000"/>
          <w:szCs w:val="32"/>
          <w:u w:val="none"/>
        </w:rPr>
        <w:t>行政处罚裁量权另有规定的，从其规定。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outlineLvl w:val="9"/>
        <w:rPr>
          <w:rFonts w:hint="eastAsia" w:eastAsia="方正仿宋_GBK"/>
          <w:bCs/>
          <w:color w:val="000000"/>
          <w:szCs w:val="32"/>
          <w:u w:val="none"/>
        </w:rPr>
      </w:pPr>
      <w:r>
        <w:rPr>
          <w:rFonts w:hint="eastAsia" w:eastAsia="方正黑体_GBK"/>
          <w:color w:val="000000"/>
          <w:szCs w:val="32"/>
          <w:u w:val="none"/>
        </w:rPr>
        <w:t>第</w:t>
      </w:r>
      <w:r>
        <w:rPr>
          <w:rFonts w:hint="eastAsia" w:eastAsia="方正黑体_GBK"/>
          <w:color w:val="000000"/>
          <w:szCs w:val="32"/>
          <w:u w:val="none"/>
          <w:lang w:eastAsia="zh-CN"/>
        </w:rPr>
        <w:t>十八</w:t>
      </w:r>
      <w:r>
        <w:rPr>
          <w:rFonts w:hint="eastAsia" w:eastAsia="方正黑体_GBK"/>
          <w:color w:val="000000"/>
          <w:szCs w:val="32"/>
          <w:u w:val="none"/>
        </w:rPr>
        <w:t>条</w:t>
      </w:r>
      <w:r>
        <w:rPr>
          <w:rFonts w:eastAsia="仿宋"/>
          <w:color w:val="000000"/>
          <w:szCs w:val="32"/>
          <w:u w:val="none"/>
        </w:rPr>
        <w:t xml:space="preserve">  </w:t>
      </w:r>
      <w:r>
        <w:rPr>
          <w:rFonts w:hint="eastAsia" w:eastAsia="方正仿宋_GBK"/>
          <w:bCs/>
          <w:color w:val="000000"/>
          <w:szCs w:val="32"/>
          <w:u w:val="none"/>
        </w:rPr>
        <w:t>本</w:t>
      </w:r>
      <w:r>
        <w:rPr>
          <w:rFonts w:hint="eastAsia" w:hAnsi="方正仿宋_GBK" w:eastAsia="方正仿宋_GBK"/>
          <w:bCs/>
          <w:szCs w:val="32"/>
          <w:u w:val="none"/>
        </w:rPr>
        <w:t>基准</w:t>
      </w:r>
      <w:r>
        <w:rPr>
          <w:rFonts w:hint="eastAsia" w:eastAsia="方正仿宋_GBK"/>
          <w:bCs/>
          <w:color w:val="000000"/>
          <w:szCs w:val="32"/>
          <w:u w:val="none"/>
        </w:rPr>
        <w:t>自印发之日起施行。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outlineLvl w:val="9"/>
        <w:rPr>
          <w:rFonts w:eastAsia="方正黑体_GBK"/>
          <w:color w:val="000000"/>
          <w:sz w:val="32"/>
          <w:szCs w:val="32"/>
          <w:u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Cs/>
          <w:color w:val="000000"/>
          <w:kern w:val="2"/>
          <w:sz w:val="32"/>
          <w:szCs w:val="32"/>
          <w:u w:val="none"/>
          <w:lang w:val="en-US" w:eastAsia="zh-CN" w:bidi="ar-SA"/>
        </w:rPr>
        <w:t>附件：</w:t>
      </w:r>
      <w:r>
        <w:rPr>
          <w:rFonts w:hint="eastAsia" w:ascii="方正仿宋_GBK" w:hAnsi="方正仿宋_GBK" w:cs="方正仿宋_GBK"/>
          <w:bCs/>
          <w:color w:val="000000"/>
          <w:kern w:val="2"/>
          <w:sz w:val="32"/>
          <w:szCs w:val="32"/>
          <w:u w:val="none"/>
          <w:lang w:val="en-US" w:eastAsia="zh-CN" w:bidi="ar-SA"/>
        </w:rPr>
        <w:t>1.</w:t>
      </w:r>
      <w:r>
        <w:rPr>
          <w:rFonts w:hint="eastAsia" w:ascii="方正仿宋_GBK" w:hAnsi="方正仿宋_GBK" w:eastAsia="方正仿宋_GBK" w:cs="方正仿宋_GBK"/>
          <w:bCs/>
          <w:color w:val="000000"/>
          <w:kern w:val="2"/>
          <w:sz w:val="32"/>
          <w:szCs w:val="32"/>
          <w:u w:val="none"/>
          <w:lang w:val="en-US" w:eastAsia="zh-CN" w:bidi="ar-SA"/>
        </w:rPr>
        <w:t>一般生产安全事故行政处罚基准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400" w:firstLineChars="500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cs="方正仿宋_GBK"/>
          <w:bCs/>
          <w:color w:val="000000"/>
          <w:kern w:val="2"/>
          <w:sz w:val="32"/>
          <w:szCs w:val="32"/>
          <w:u w:val="none"/>
          <w:lang w:val="en-US" w:eastAsia="zh-CN" w:bidi="ar-SA"/>
        </w:rPr>
        <w:t>2.</w:t>
      </w:r>
      <w:r>
        <w:rPr>
          <w:rFonts w:hint="eastAsia" w:ascii="方正仿宋_GBK" w:hAnsi="方正仿宋_GBK" w:eastAsia="方正仿宋_GBK" w:cs="方正仿宋_GBK"/>
          <w:bCs/>
          <w:color w:val="000000"/>
          <w:kern w:val="2"/>
          <w:sz w:val="32"/>
          <w:szCs w:val="32"/>
          <w:u w:val="none"/>
          <w:lang w:val="en-US" w:eastAsia="zh-CN" w:bidi="ar-SA"/>
        </w:rPr>
        <w:t>较大生产安全事故行政处罚基准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400" w:firstLineChars="5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cs="方正仿宋_GBK"/>
          <w:bCs/>
          <w:color w:val="000000"/>
          <w:kern w:val="2"/>
          <w:sz w:val="32"/>
          <w:szCs w:val="32"/>
          <w:u w:val="none"/>
          <w:lang w:val="en-US" w:eastAsia="zh-CN" w:bidi="ar-SA"/>
        </w:rPr>
        <w:t>3.</w:t>
      </w:r>
      <w:r>
        <w:rPr>
          <w:rFonts w:hint="eastAsia" w:ascii="方正仿宋_GBK" w:hAnsi="方正仿宋_GBK" w:eastAsia="方正仿宋_GBK" w:cs="方正仿宋_GBK"/>
          <w:bCs/>
          <w:color w:val="000000"/>
          <w:kern w:val="2"/>
          <w:sz w:val="32"/>
          <w:szCs w:val="32"/>
          <w:u w:val="none"/>
          <w:lang w:val="en-US" w:eastAsia="zh-CN" w:bidi="ar-SA"/>
        </w:rPr>
        <w:t>重大生产安全事故行政处罚基准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Times New Roman" w:hAnsi="Times New Roman" w:eastAsia="方正仿宋_GBK" w:cs="Times New Roman"/>
          <w:bCs/>
          <w:color w:val="000000"/>
          <w:kern w:val="2"/>
          <w:sz w:val="32"/>
          <w:szCs w:val="32"/>
          <w:u w:val="none"/>
          <w:lang w:val="en-US" w:eastAsia="zh-CN" w:bidi="ar-SA"/>
        </w:rPr>
      </w:pPr>
      <w:r>
        <w:rPr>
          <w:rFonts w:eastAsia="方正黑体_GBK"/>
          <w:color w:val="000000"/>
          <w:sz w:val="32"/>
          <w:szCs w:val="32"/>
          <w:u w:val="none"/>
          <w:shd w:val="clear" w:color="auto" w:fill="FFFFFF"/>
        </w:rPr>
        <w:br w:type="page"/>
      </w:r>
      <w:bookmarkEnd w:id="1"/>
      <w:r>
        <w:rPr>
          <w:rFonts w:hint="eastAsia" w:ascii="方正黑体_GBK" w:hAnsi="方正黑体_GBK" w:eastAsia="方正黑体_GBK" w:cs="方正黑体_GBK"/>
          <w:bCs/>
          <w:color w:val="000000"/>
          <w:kern w:val="2"/>
          <w:sz w:val="32"/>
          <w:szCs w:val="32"/>
          <w:u w:val="none"/>
          <w:lang w:val="en-US" w:eastAsia="zh-CN" w:bidi="ar-SA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一般生产安全事故行政处罚基准</w:t>
      </w:r>
    </w:p>
    <w:tbl>
      <w:tblPr>
        <w:tblStyle w:val="9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17"/>
        <w:gridCol w:w="1650"/>
        <w:gridCol w:w="2250"/>
        <w:gridCol w:w="1267"/>
        <w:gridCol w:w="1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违法事实及分类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单位处罚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主要负责人处罚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6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死亡人数（人）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重伤人数（人）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直接经济损失（万元）</w:t>
            </w: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可不处罚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可不处罚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300以上不满600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30-50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600以上不满1000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50-70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可不处罚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可不处罚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30-50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50-70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30-50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50-70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35-55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300-600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55-70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600以上不满1000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70-85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35-55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55-70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70-85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40-60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300-600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60-75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600以上不满1000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75-90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55-75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300-600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75-85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600以上不满1000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85-95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55-75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75-85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85-95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300以下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70-80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3-5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300以上不满600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80-90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8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600以上不满1000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90-100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上年收入40%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208" w:leftChars="65" w:firstLine="0" w:firstLineChars="0"/>
        <w:jc w:val="left"/>
        <w:textAlignment w:val="auto"/>
        <w:rPr>
          <w:rFonts w:hint="eastAsia"/>
          <w:color w:val="00000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注：1.有人员伤亡的事故，救治费用和死亡赔偿金等费用不影响裁量等级划分的，不作为表中“直接经济损失”计算。2.其余未列名情形参考表中类似情况确定。下同。</w:t>
      </w:r>
      <w:r>
        <w:rPr>
          <w:rFonts w:hint="eastAsia"/>
          <w:color w:val="000000"/>
          <w:sz w:val="21"/>
          <w:szCs w:val="21"/>
          <w:u w:val="none"/>
          <w:lang w:eastAsia="zh-CN"/>
        </w:rPr>
        <w:br w:type="page"/>
      </w:r>
      <w:r>
        <w:rPr>
          <w:rFonts w:hint="eastAsia" w:ascii="方正黑体_GBK" w:hAnsi="方正黑体_GBK" w:eastAsia="方正黑体_GBK" w:cs="方正黑体_GBK"/>
          <w:bCs/>
          <w:color w:val="000000"/>
          <w:kern w:val="2"/>
          <w:sz w:val="32"/>
          <w:szCs w:val="32"/>
          <w:u w:val="none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较大生产安全事故行政处罚基准</w:t>
      </w:r>
    </w:p>
    <w:tbl>
      <w:tblPr>
        <w:tblStyle w:val="9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85"/>
        <w:gridCol w:w="1185"/>
        <w:gridCol w:w="2567"/>
        <w:gridCol w:w="1513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违法事实及分类</w:t>
            </w:r>
          </w:p>
        </w:tc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单位处罚（万元）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主要负责人处罚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死亡人数（人）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重伤人数（人）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直接经济损失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1000以上不满3000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100-140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3000以上不满5000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140-160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10-30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100-140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30-49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140-160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100-140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140-160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不满3000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140-155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3000以上不满5000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155-170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10-30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140-155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30-49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155-170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10-30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不满3000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170-180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30-49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3000以上不满5000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180-190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不满3000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155-170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3000以上不满5000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170-180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10-30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155-170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30-49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170-180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10-30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不满3000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180-190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30-49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3000以上不满5000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190-200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上年收入60%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textAlignment w:val="auto"/>
        <w:rPr>
          <w:rFonts w:hint="eastAsia"/>
          <w:color w:val="000000"/>
          <w:u w:val="none"/>
          <w:lang w:val="en-US" w:eastAsia="zh-CN"/>
        </w:rPr>
      </w:pPr>
      <w:r>
        <w:rPr>
          <w:rFonts w:hint="default"/>
          <w:color w:val="000000"/>
          <w:u w:val="none"/>
          <w:lang w:val="en-US" w:eastAsia="zh-CN"/>
        </w:rPr>
        <w:br w:type="page"/>
      </w:r>
      <w:r>
        <w:rPr>
          <w:rFonts w:hint="eastAsia" w:ascii="方正黑体_GBK" w:hAnsi="方正黑体_GBK" w:eastAsia="方正黑体_GBK" w:cs="方正黑体_GBK"/>
          <w:bCs/>
          <w:color w:val="000000"/>
          <w:kern w:val="2"/>
          <w:sz w:val="32"/>
          <w:szCs w:val="32"/>
          <w:u w:val="none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重大生产安全事故行政处罚基准</w:t>
      </w:r>
    </w:p>
    <w:tbl>
      <w:tblPr>
        <w:tblStyle w:val="9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85"/>
        <w:gridCol w:w="1185"/>
        <w:gridCol w:w="2562"/>
        <w:gridCol w:w="1518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违法事实及分类</w:t>
            </w:r>
          </w:p>
        </w:tc>
        <w:tc>
          <w:tcPr>
            <w:tcW w:w="1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单位处罚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主要负责人处罚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死亡人数（人）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重伤人数（人）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直接经济损失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5000以上不满7500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200-400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7500以上不满10000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500-700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50-75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200-400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75-99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500-700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200-400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500-700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不满7500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250-500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7500以上不满10000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500-800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50-75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250-500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75-99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500-800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50-75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不满7500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300-600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75-99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7500以上不满10000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500-800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不满7500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450-700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7500以上不满10000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700-900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50-75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450-700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75-99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700-900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50-75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不满7500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700-900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21-29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75-99</w:t>
            </w:r>
          </w:p>
        </w:tc>
        <w:tc>
          <w:tcPr>
            <w:tcW w:w="2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7500以上不满10000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900-1000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上年收入80%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962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altName w:val="文泉驿微米黑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方正小标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5770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应急管理局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</w:t>
    </w:r>
  </w:p>
  <w:p>
    <w:pPr>
      <w:pStyle w:val="6"/>
      <w:wordWrap w:val="0"/>
      <w:ind w:left="7296" w:leftChars="2280" w:firstLine="560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&#10;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NxHk&#10;rNQAAAAIAQAADwAAAAAAAAABACAAAAA4AAAAZHJzL2Rvd25yZXYueG1sUEsBAhQAFAAAAAgAh07i&#10;QOPuMRnXAQAAbwMAAA4AAAAAAAAAAQAgAAAAOQEAAGRycy9lMm9Eb2MueG1sUEsFBgAAAAAGAAYA&#10;WQEAAII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应急管理局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1C42DA"/>
    <w:rsid w:val="04B679C3"/>
    <w:rsid w:val="05F07036"/>
    <w:rsid w:val="06E00104"/>
    <w:rsid w:val="080F63D8"/>
    <w:rsid w:val="087000D2"/>
    <w:rsid w:val="09341458"/>
    <w:rsid w:val="098254C2"/>
    <w:rsid w:val="0A766EDE"/>
    <w:rsid w:val="0ABA56A7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343328"/>
    <w:rsid w:val="22440422"/>
    <w:rsid w:val="22B96868"/>
    <w:rsid w:val="22BB4BBB"/>
    <w:rsid w:val="2AEB3417"/>
    <w:rsid w:val="31A15F24"/>
    <w:rsid w:val="324A1681"/>
    <w:rsid w:val="36FB1DF0"/>
    <w:rsid w:val="38972F83"/>
    <w:rsid w:val="395347B5"/>
    <w:rsid w:val="39A232A0"/>
    <w:rsid w:val="39E745AA"/>
    <w:rsid w:val="3A3872CF"/>
    <w:rsid w:val="3B5A6BBB"/>
    <w:rsid w:val="3D467721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401665"/>
    <w:rsid w:val="53D8014D"/>
    <w:rsid w:val="55E064E0"/>
    <w:rsid w:val="564C327B"/>
    <w:rsid w:val="572C6D10"/>
    <w:rsid w:val="587E2AE8"/>
    <w:rsid w:val="5DC34279"/>
    <w:rsid w:val="5FCD688E"/>
    <w:rsid w:val="5FF9BDAA"/>
    <w:rsid w:val="5FFE5333"/>
    <w:rsid w:val="608816D1"/>
    <w:rsid w:val="60EF4E7F"/>
    <w:rsid w:val="62E6236D"/>
    <w:rsid w:val="645D0CF1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  <w:rsid w:val="FFFB33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napToGrid w:val="0"/>
      <w:spacing w:line="0" w:lineRule="atLeast"/>
    </w:pPr>
    <w:rPr>
      <w:rFonts w:ascii="方正仿宋_GBK" w:eastAsia="方正仿宋_GBK"/>
      <w:snapToGrid w:val="0"/>
      <w:spacing w:val="-20"/>
      <w:sz w:val="28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14">
    <w:name w:val="List Paragraph1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Calibri" w:eastAsia="方正黑体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2021-09-11T10:41:00Z</dcterms:created>
  <dc:creator>t</dc:creator>
  <cp:lastModifiedBy>cqyj</cp:lastModifiedBy>
  <cp:lastPrinted>2022-05-12T08:46:00Z</cp:lastPrinted>
  <dcterms:modified xsi:type="dcterms:W3CDTF">2022-06-16T11:19:41Z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48C61CB29D3F4D9384F5922CF0F7FFB4</vt:lpwstr>
  </property>
</Properties>
</file>