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hint="eastAsia" w:ascii="Times New Roman" w:hAnsi="Times New Roman" w:eastAsia="方正仿宋_GBK"/>
          <w:kern w:val="0"/>
          <w:sz w:val="32"/>
          <w:szCs w:val="32"/>
          <w:highlight w:val="none"/>
          <w:lang w:val="en-US" w:eastAsia="zh-CN"/>
        </w:rPr>
      </w:pPr>
      <w:bookmarkStart w:id="0" w:name="_Hlk37239649"/>
      <w:bookmarkEnd w:id="0"/>
      <w:r>
        <w:rPr>
          <w:rFonts w:ascii="Times New Roman" w:hAnsi="Times New Roman" w:eastAsia="方正仿宋_GBK"/>
          <w:kern w:val="0"/>
          <w:sz w:val="32"/>
          <w:szCs w:val="32"/>
        </w:rPr>
        <w:t xml:space="preserve">   </w:t>
      </w:r>
      <w:r>
        <w:rPr>
          <w:rFonts w:hint="eastAsia" w:ascii="Times New Roman" w:hAnsi="Times New Roman"/>
          <w:kern w:val="0"/>
          <w:sz w:val="32"/>
          <w:szCs w:val="32"/>
          <w:lang w:val="en-US" w:eastAsia="zh-CN"/>
        </w:rPr>
        <w:t xml:space="preserve"> </w:t>
      </w:r>
      <w:r>
        <w:rPr>
          <w:rFonts w:ascii="Times New Roman" w:hAnsi="Times New Roman" w:eastAsia="方正仿宋_GBK"/>
          <w:kern w:val="0"/>
          <w:sz w:val="32"/>
          <w:szCs w:val="32"/>
        </w:rPr>
        <w:t xml:space="preserve">  </w:t>
      </w: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val="en-US" w:eastAsia="zh-CN"/>
        </w:rPr>
        <w:t xml:space="preserve">   </w:t>
      </w: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val="en-US" w:eastAsia="zh-CN"/>
        </w:rPr>
        <w:t xml:space="preserve"> </w:t>
      </w: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val="en-US" w:eastAsia="zh-CN"/>
        </w:rPr>
        <w:t>A</w:t>
      </w:r>
    </w:p>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ascii="Times New Roman" w:hAnsi="Times New Roman" w:eastAsia="方正仿宋_GBK"/>
          <w:kern w:val="0"/>
          <w:sz w:val="32"/>
          <w:szCs w:val="32"/>
          <w:highlight w:val="none"/>
        </w:rPr>
      </w:pP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eastAsia="zh-CN"/>
        </w:rPr>
        <w:t>同意</w:t>
      </w:r>
      <w:r>
        <w:rPr>
          <w:rFonts w:hint="eastAsia" w:ascii="Times New Roman" w:hAnsi="Times New Roman" w:eastAsia="方正仿宋_GBK"/>
          <w:kern w:val="0"/>
          <w:sz w:val="32"/>
          <w:szCs w:val="32"/>
          <w:highlight w:val="none"/>
        </w:rPr>
        <w:t>公开</w:t>
      </w:r>
    </w:p>
    <w:p>
      <w:pPr>
        <w:keepNext w:val="0"/>
        <w:keepLines w:val="0"/>
        <w:pageBreakBefore w:val="0"/>
        <w:widowControl w:val="0"/>
        <w:kinsoku/>
        <w:wordWrap/>
        <w:overflowPunct/>
        <w:topLinePunct/>
        <w:autoSpaceDE/>
        <w:autoSpaceDN/>
        <w:bidi w:val="0"/>
        <w:adjustRightInd/>
        <w:snapToGrid/>
        <w:spacing w:line="594" w:lineRule="exact"/>
        <w:jc w:val="both"/>
        <w:textAlignment w:val="auto"/>
        <w:rPr>
          <w:rFonts w:ascii="Times New Roman" w:hAnsi="Times New Roman" w:eastAsia="方正小标宋_GBK"/>
          <w:kern w:val="0"/>
          <w:sz w:val="44"/>
          <w:szCs w:val="44"/>
          <w:highlight w:val="none"/>
        </w:rPr>
      </w:pPr>
    </w:p>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ascii="Times New Roman" w:hAnsi="Times New Roman" w:eastAsia="方正黑体_GBK"/>
          <w:color w:val="FF0000"/>
          <w:kern w:val="0"/>
          <w:sz w:val="52"/>
          <w:szCs w:val="52"/>
          <w:highlight w:val="none"/>
        </w:rPr>
      </w:pPr>
      <w:r>
        <w:rPr>
          <w:rFonts w:hint="eastAsia" w:ascii="Times New Roman" w:hAnsi="Times New Roman" w:eastAsia="方正黑体_GBK"/>
          <w:color w:val="FF0000"/>
          <w:kern w:val="0"/>
          <w:sz w:val="52"/>
          <w:szCs w:val="52"/>
          <w:highlight w:val="none"/>
        </w:rPr>
        <w:t>重庆市</w:t>
      </w:r>
      <w:r>
        <w:rPr>
          <w:rFonts w:hint="eastAsia" w:ascii="Times New Roman" w:hAnsi="Times New Roman" w:eastAsia="方正黑体_GBK"/>
          <w:color w:val="FF0000"/>
          <w:kern w:val="0"/>
          <w:sz w:val="52"/>
          <w:szCs w:val="52"/>
          <w:highlight w:val="none"/>
          <w:lang w:eastAsia="zh-CN"/>
        </w:rPr>
        <w:t>应急管理</w:t>
      </w:r>
      <w:r>
        <w:rPr>
          <w:rFonts w:hint="eastAsia" w:ascii="Times New Roman" w:hAnsi="Times New Roman" w:eastAsia="方正黑体_GBK"/>
          <w:color w:val="FF0000"/>
          <w:kern w:val="0"/>
          <w:sz w:val="52"/>
          <w:szCs w:val="52"/>
          <w:highlight w:val="none"/>
        </w:rPr>
        <w:t>局</w:t>
      </w:r>
    </w:p>
    <w:p>
      <w:pPr>
        <w:keepNext w:val="0"/>
        <w:keepLines w:val="0"/>
        <w:pageBreakBefore w:val="0"/>
        <w:widowControl w:val="0"/>
        <w:kinsoku/>
        <w:wordWrap/>
        <w:overflowPunct/>
        <w:topLinePunct/>
        <w:autoSpaceDE/>
        <w:autoSpaceDN/>
        <w:bidi w:val="0"/>
        <w:adjustRightInd/>
        <w:snapToGrid/>
        <w:spacing w:line="594" w:lineRule="exact"/>
        <w:ind w:right="24" w:firstLine="640"/>
        <w:jc w:val="center"/>
        <w:textAlignment w:val="auto"/>
        <w:rPr>
          <w:rFonts w:hint="eastAsia" w:ascii="Times New Roman" w:hAnsi="Times New Roman" w:eastAsia="方正仿宋_GBK" w:cs="方正仿宋_GBK"/>
          <w:b w:val="0"/>
          <w:bCs w:val="0"/>
          <w:sz w:val="32"/>
          <w:szCs w:val="32"/>
          <w:highlight w:val="none"/>
        </w:rPr>
      </w:pPr>
    </w:p>
    <w:p>
      <w:pPr>
        <w:keepNext w:val="0"/>
        <w:keepLines w:val="0"/>
        <w:pageBreakBefore w:val="0"/>
        <w:widowControl w:val="0"/>
        <w:kinsoku/>
        <w:wordWrap/>
        <w:overflowPunct/>
        <w:topLinePunct/>
        <w:autoSpaceDE/>
        <w:autoSpaceDN/>
        <w:bidi w:val="0"/>
        <w:adjustRightInd/>
        <w:snapToGrid/>
        <w:spacing w:line="594" w:lineRule="exact"/>
        <w:ind w:right="24"/>
        <w:jc w:val="center"/>
        <w:textAlignment w:val="auto"/>
        <w:rPr>
          <w:rFonts w:hint="eastAsia" w:ascii="Times New Roman" w:hAnsi="Times New Roman" w:eastAsia="方正仿宋_GBK" w:cs="方正仿宋_GBK"/>
          <w:b w:val="0"/>
          <w:bCs w:val="0"/>
          <w:sz w:val="32"/>
          <w:szCs w:val="32"/>
          <w:highlight w:val="none"/>
        </w:rPr>
      </w:pPr>
      <w:r>
        <w:rPr>
          <w:rFonts w:hint="eastAsia" w:ascii="Times New Roman" w:hAnsi="Times New Roman" w:eastAsia="方正仿宋_GBK" w:cs="方正仿宋_GBK"/>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375920</wp:posOffset>
                </wp:positionV>
                <wp:extent cx="5701665" cy="0"/>
                <wp:effectExtent l="0" t="7620" r="0" b="8255"/>
                <wp:wrapNone/>
                <wp:docPr id="1" name="直接箭头连接符 1"/>
                <wp:cNvGraphicFramePr/>
                <a:graphic xmlns:a="http://schemas.openxmlformats.org/drawingml/2006/main">
                  <a:graphicData uri="http://schemas.microsoft.com/office/word/2010/wordprocessingShape">
                    <wps:wsp>
                      <wps:cNvCnPr/>
                      <wps:spPr>
                        <a:xfrm>
                          <a:off x="0" y="0"/>
                          <a:ext cx="5701665" cy="0"/>
                        </a:xfrm>
                        <a:prstGeom prst="straightConnector1">
                          <a:avLst/>
                        </a:prstGeom>
                        <a:ln w="158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7pt;margin-top:29.6pt;height:0pt;width:448.95pt;z-index:251659264;mso-width-relative:page;mso-height-relative:page;" filled="f" stroked="t" coordsize="21600,21600" o:gfxdata="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ZkeD51gAAAAgBAAAPAAAAAAAAAAEAIAAAADgAAABkcnMvZG93bnJl&#10;di54bWxQSwECFAAUAAAACACHTuJAfxQy6+kBAACtAwAADgAAAAAAAAABACAAAAA7AQAAZHJzL2Uy&#10;b0RvYy54bWxQSwUGAAAAAAYABgBZAQAAlgUAAAAA&#10;">
                <v:fill on="f" focussize="0,0"/>
                <v:stroke weight="1.25pt" color="#FF0000" joinstyle="round"/>
                <v:imagedata o:title=""/>
                <o:lock v:ext="edit" aspectratio="f"/>
              </v:shape>
            </w:pict>
          </mc:Fallback>
        </mc:AlternateContent>
      </w:r>
      <w:r>
        <w:rPr>
          <w:rFonts w:hint="eastAsia" w:ascii="Times New Roman" w:hAnsi="Times New Roman" w:eastAsia="方正仿宋_GBK" w:cs="方正仿宋_GBK"/>
          <w:b w:val="0"/>
          <w:bCs w:val="0"/>
          <w:sz w:val="32"/>
          <w:szCs w:val="32"/>
          <w:highlight w:val="none"/>
        </w:rPr>
        <w:t>渝</w:t>
      </w:r>
      <w:r>
        <w:rPr>
          <w:rFonts w:hint="eastAsia" w:ascii="Times New Roman" w:hAnsi="Times New Roman" w:eastAsia="方正仿宋_GBK" w:cs="方正仿宋_GBK"/>
          <w:b w:val="0"/>
          <w:bCs w:val="0"/>
          <w:sz w:val="32"/>
          <w:szCs w:val="32"/>
          <w:highlight w:val="none"/>
          <w:lang w:eastAsia="zh-CN"/>
        </w:rPr>
        <w:t>应急</w:t>
      </w:r>
      <w:r>
        <w:rPr>
          <w:rFonts w:hint="eastAsia" w:ascii="Times New Roman" w:hAnsi="Times New Roman" w:eastAsia="方正仿宋_GBK" w:cs="方正仿宋_GBK"/>
          <w:b w:val="0"/>
          <w:bCs w:val="0"/>
          <w:sz w:val="32"/>
          <w:szCs w:val="32"/>
          <w:highlight w:val="none"/>
        </w:rPr>
        <w:t>函〔20</w:t>
      </w:r>
      <w:r>
        <w:rPr>
          <w:rFonts w:hint="eastAsia" w:ascii="Times New Roman" w:hAnsi="Times New Roman" w:eastAsia="方正仿宋_GBK" w:cs="方正仿宋_GBK"/>
          <w:b w:val="0"/>
          <w:bCs w:val="0"/>
          <w:sz w:val="32"/>
          <w:szCs w:val="32"/>
          <w:highlight w:val="none"/>
          <w:lang w:val="en-US" w:eastAsia="zh-CN"/>
        </w:rPr>
        <w:t>2</w:t>
      </w:r>
      <w:r>
        <w:rPr>
          <w:rFonts w:hint="eastAsia" w:ascii="Times New Roman" w:hAnsi="Times New Roman" w:cs="方正仿宋_GBK"/>
          <w:b w:val="0"/>
          <w:bCs w:val="0"/>
          <w:sz w:val="32"/>
          <w:szCs w:val="32"/>
          <w:highlight w:val="none"/>
          <w:lang w:val="en-US" w:eastAsia="zh-CN"/>
        </w:rPr>
        <w:t>5</w:t>
      </w:r>
      <w:r>
        <w:rPr>
          <w:rFonts w:hint="eastAsia" w:ascii="Times New Roman" w:hAnsi="Times New Roman" w:eastAsia="方正仿宋_GBK" w:cs="方正仿宋_GBK"/>
          <w:b w:val="0"/>
          <w:bCs w:val="0"/>
          <w:sz w:val="32"/>
          <w:szCs w:val="32"/>
          <w:highlight w:val="none"/>
        </w:rPr>
        <w:t>〕</w:t>
      </w:r>
      <w:r>
        <w:rPr>
          <w:rFonts w:hint="eastAsia" w:ascii="Times New Roman" w:hAnsi="Times New Roman" w:cs="方正仿宋_GBK"/>
          <w:b w:val="0"/>
          <w:bCs w:val="0"/>
          <w:sz w:val="32"/>
          <w:szCs w:val="32"/>
          <w:highlight w:val="none"/>
          <w:lang w:val="en-US" w:eastAsia="zh-CN"/>
        </w:rPr>
        <w:t>237</w:t>
      </w:r>
      <w:r>
        <w:rPr>
          <w:rFonts w:hint="eastAsia" w:ascii="Times New Roman" w:hAnsi="Times New Roman" w:eastAsia="方正仿宋_GBK" w:cs="方正仿宋_GBK"/>
          <w:b w:val="0"/>
          <w:bCs w:val="0"/>
          <w:sz w:val="32"/>
          <w:szCs w:val="32"/>
          <w:highlight w:val="none"/>
        </w:rPr>
        <w:t>号</w:t>
      </w:r>
    </w:p>
    <w:p>
      <w:pPr>
        <w:keepNext w:val="0"/>
        <w:keepLines w:val="0"/>
        <w:pageBreakBefore w:val="0"/>
        <w:widowControl w:val="0"/>
        <w:kinsoku/>
        <w:wordWrap/>
        <w:overflowPunct/>
        <w:topLinePunct/>
        <w:autoSpaceDE/>
        <w:autoSpaceDN/>
        <w:bidi w:val="0"/>
        <w:adjustRightInd/>
        <w:snapToGrid/>
        <w:spacing w:line="594" w:lineRule="exact"/>
        <w:jc w:val="both"/>
        <w:textAlignment w:val="auto"/>
        <w:rPr>
          <w:rFonts w:hint="eastAsia" w:ascii="Times New Roman" w:hAnsi="Times New Roman" w:eastAsia="方正小标宋_GBK" w:cs="方正小标宋_GBK"/>
          <w:spacing w:val="0"/>
          <w:kern w:val="0"/>
          <w:sz w:val="36"/>
          <w:szCs w:val="36"/>
        </w:rPr>
      </w:pPr>
    </w:p>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hint="eastAsia" w:ascii="Times New Roman" w:hAnsi="Times New Roman" w:eastAsia="方正小标宋_GBK" w:cs="宋体"/>
          <w:spacing w:val="0"/>
          <w:kern w:val="0"/>
          <w:sz w:val="36"/>
          <w:szCs w:val="36"/>
        </w:rPr>
      </w:pPr>
    </w:p>
    <w:p>
      <w:pPr>
        <w:keepNext w:val="0"/>
        <w:keepLines w:val="0"/>
        <w:pageBreakBefore w:val="0"/>
        <w:widowControl w:val="0"/>
        <w:kinsoku/>
        <w:wordWrap/>
        <w:overflowPunct/>
        <w:topLinePunct/>
        <w:autoSpaceDE/>
        <w:autoSpaceDN/>
        <w:bidi w:val="0"/>
        <w:adjustRightInd/>
        <w:snapToGrid w:val="0"/>
        <w:spacing w:line="594" w:lineRule="exact"/>
        <w:ind w:firstLine="200"/>
        <w:jc w:val="center"/>
        <w:textAlignment w:val="auto"/>
        <w:rPr>
          <w:rFonts w:ascii="Times New Roman" w:hAnsi="Times New Roman" w:eastAsia="方正小标宋_GBK" w:cs="宋体"/>
          <w:kern w:val="0"/>
          <w:sz w:val="36"/>
          <w:szCs w:val="36"/>
        </w:rPr>
      </w:pPr>
      <w:r>
        <w:rPr>
          <w:rFonts w:hint="eastAsia" w:ascii="Times New Roman" w:hAnsi="Times New Roman" w:eastAsia="方正小标宋_GBK" w:cs="宋体"/>
          <w:kern w:val="0"/>
          <w:sz w:val="36"/>
          <w:szCs w:val="36"/>
        </w:rPr>
        <w:t>重庆市应急管理局</w:t>
      </w:r>
    </w:p>
    <w:p>
      <w:pPr>
        <w:keepNext w:val="0"/>
        <w:keepLines w:val="0"/>
        <w:pageBreakBefore w:val="0"/>
        <w:widowControl w:val="0"/>
        <w:kinsoku/>
        <w:wordWrap/>
        <w:overflowPunct/>
        <w:topLinePunct/>
        <w:autoSpaceDE/>
        <w:autoSpaceDN/>
        <w:bidi w:val="0"/>
        <w:adjustRightInd/>
        <w:snapToGrid w:val="0"/>
        <w:spacing w:line="594" w:lineRule="exact"/>
        <w:ind w:firstLine="200"/>
        <w:jc w:val="center"/>
        <w:textAlignment w:val="auto"/>
        <w:rPr>
          <w:rFonts w:ascii="Times New Roman" w:hAnsi="Times New Roman" w:eastAsia="方正小标宋_GBK" w:cs="宋体"/>
          <w:kern w:val="0"/>
          <w:sz w:val="36"/>
          <w:szCs w:val="36"/>
        </w:rPr>
      </w:pPr>
      <w:r>
        <w:rPr>
          <w:rFonts w:hint="eastAsia" w:ascii="Times New Roman" w:hAnsi="Times New Roman" w:eastAsia="方正小标宋_GBK" w:cs="宋体"/>
          <w:kern w:val="0"/>
          <w:sz w:val="36"/>
          <w:szCs w:val="36"/>
        </w:rPr>
        <w:t>关于</w:t>
      </w:r>
      <w:bookmarkStart w:id="1" w:name="OLE_LINK10"/>
      <w:bookmarkStart w:id="2" w:name="OLE_LINK9"/>
      <w:r>
        <w:rPr>
          <w:rFonts w:hint="eastAsia" w:ascii="Times New Roman" w:hAnsi="Times New Roman" w:eastAsia="方正小标宋_GBK" w:cs="宋体"/>
          <w:kern w:val="0"/>
          <w:sz w:val="36"/>
          <w:szCs w:val="36"/>
        </w:rPr>
        <w:t>市六届人大三次会议第1293号代表建议</w:t>
      </w:r>
      <w:bookmarkEnd w:id="1"/>
      <w:bookmarkEnd w:id="2"/>
    </w:p>
    <w:p>
      <w:pPr>
        <w:keepNext w:val="0"/>
        <w:keepLines w:val="0"/>
        <w:pageBreakBefore w:val="0"/>
        <w:widowControl w:val="0"/>
        <w:kinsoku/>
        <w:wordWrap/>
        <w:overflowPunct/>
        <w:topLinePunct/>
        <w:autoSpaceDE/>
        <w:autoSpaceDN/>
        <w:bidi w:val="0"/>
        <w:adjustRightInd/>
        <w:snapToGrid w:val="0"/>
        <w:spacing w:line="594" w:lineRule="exact"/>
        <w:ind w:firstLine="200"/>
        <w:jc w:val="center"/>
        <w:textAlignment w:val="auto"/>
        <w:rPr>
          <w:rFonts w:ascii="Times New Roman" w:hAnsi="Times New Roman" w:eastAsia="方正小标宋_GBK" w:cs="宋体"/>
          <w:kern w:val="0"/>
          <w:sz w:val="36"/>
          <w:szCs w:val="36"/>
        </w:rPr>
      </w:pPr>
      <w:r>
        <w:rPr>
          <w:rFonts w:hint="eastAsia" w:ascii="Times New Roman" w:hAnsi="Times New Roman" w:eastAsia="方正小标宋_GBK" w:cs="宋体"/>
          <w:kern w:val="0"/>
          <w:sz w:val="36"/>
          <w:szCs w:val="36"/>
        </w:rPr>
        <w:t>办理情况的答复函</w:t>
      </w:r>
    </w:p>
    <w:p>
      <w:pPr>
        <w:keepNext w:val="0"/>
        <w:keepLines w:val="0"/>
        <w:pageBreakBefore w:val="0"/>
        <w:widowControl w:val="0"/>
        <w:kinsoku/>
        <w:wordWrap/>
        <w:overflowPunct/>
        <w:topLinePunct/>
        <w:autoSpaceDE/>
        <w:autoSpaceDN/>
        <w:bidi w:val="0"/>
        <w:adjustRightInd/>
        <w:snapToGrid/>
        <w:spacing w:line="594" w:lineRule="exact"/>
        <w:jc w:val="left"/>
        <w:textAlignment w:val="auto"/>
        <w:rPr>
          <w:rFonts w:ascii="Times New Roman" w:hAnsi="Times New Roman"/>
          <w:kern w:val="0"/>
          <w:szCs w:val="32"/>
        </w:rPr>
      </w:pPr>
    </w:p>
    <w:p>
      <w:pPr>
        <w:keepNext w:val="0"/>
        <w:keepLines w:val="0"/>
        <w:pageBreakBefore w:val="0"/>
        <w:widowControl w:val="0"/>
        <w:kinsoku/>
        <w:wordWrap/>
        <w:overflowPunct/>
        <w:topLinePunct/>
        <w:autoSpaceDE/>
        <w:autoSpaceDN/>
        <w:bidi w:val="0"/>
        <w:adjustRightInd/>
        <w:snapToGrid/>
        <w:spacing w:line="594" w:lineRule="exact"/>
        <w:textAlignment w:val="auto"/>
        <w:rPr>
          <w:rFonts w:ascii="Times New Roman" w:hAnsi="Times New Roman" w:cs="宋体"/>
          <w:kern w:val="0"/>
          <w:szCs w:val="32"/>
        </w:rPr>
      </w:pPr>
      <w:r>
        <w:rPr>
          <w:rFonts w:hint="eastAsia" w:ascii="Times New Roman" w:hAnsi="Times New Roman"/>
          <w:szCs w:val="32"/>
        </w:rPr>
        <w:t>赵廷奎代表</w:t>
      </w:r>
      <w:r>
        <w:rPr>
          <w:rFonts w:hint="eastAsia" w:ascii="Times New Roman" w:hAnsi="Times New Roman" w:cs="宋体"/>
          <w:kern w:val="0"/>
          <w:szCs w:val="32"/>
        </w:rPr>
        <w:t>：</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cs="宋体"/>
          <w:kern w:val="0"/>
          <w:szCs w:val="32"/>
        </w:rPr>
      </w:pPr>
      <w:r>
        <w:rPr>
          <w:rFonts w:hint="eastAsia" w:ascii="Times New Roman" w:hAnsi="Times New Roman" w:cs="宋体"/>
          <w:kern w:val="0"/>
          <w:szCs w:val="32"/>
        </w:rPr>
        <w:t>您提出的《关于强降雨期间加强应急避险保障的建议》（</w:t>
      </w:r>
      <w:r>
        <w:rPr>
          <w:rFonts w:hint="eastAsia" w:ascii="Times New Roman" w:hAnsi="Times New Roman"/>
          <w:szCs w:val="32"/>
        </w:rPr>
        <w:t>第1293号）</w:t>
      </w:r>
      <w:r>
        <w:rPr>
          <w:rFonts w:hint="eastAsia" w:ascii="Times New Roman" w:hAnsi="Times New Roman" w:cs="宋体"/>
          <w:kern w:val="0"/>
          <w:szCs w:val="32"/>
        </w:rPr>
        <w:t>收悉。经与市财政局共同研究办理，我们将</w:t>
      </w:r>
      <w:r>
        <w:rPr>
          <w:rFonts w:hint="default" w:ascii="Times New Roman" w:hAnsi="Times New Roman" w:cs="宋体"/>
          <w:kern w:val="0"/>
          <w:szCs w:val="32"/>
        </w:rPr>
        <w:t>持续做好</w:t>
      </w:r>
      <w:r>
        <w:rPr>
          <w:rFonts w:hint="eastAsia" w:ascii="Times New Roman" w:hAnsi="Times New Roman" w:cs="宋体"/>
          <w:kern w:val="0"/>
          <w:szCs w:val="32"/>
        </w:rPr>
        <w:t>包括武隆区在内的各区县</w:t>
      </w:r>
      <w:r>
        <w:rPr>
          <w:rFonts w:ascii="Times New Roman" w:hAnsi="Times New Roman"/>
        </w:rPr>
        <w:t>应急避难场所建设统筹指导工作</w:t>
      </w:r>
      <w:r>
        <w:rPr>
          <w:rFonts w:hint="eastAsia" w:ascii="Times New Roman" w:hAnsi="Times New Roman"/>
        </w:rPr>
        <w:t>，按照国家和市级层面</w:t>
      </w:r>
      <w:r>
        <w:rPr>
          <w:rFonts w:hint="default" w:ascii="Times New Roman" w:hAnsi="Times New Roman"/>
        </w:rPr>
        <w:t>救灾救助</w:t>
      </w:r>
      <w:r>
        <w:rPr>
          <w:rFonts w:hint="eastAsia" w:ascii="Times New Roman" w:hAnsi="Times New Roman"/>
        </w:rPr>
        <w:t>标准</w:t>
      </w:r>
      <w:r>
        <w:rPr>
          <w:rFonts w:hint="default" w:ascii="Times New Roman" w:hAnsi="Times New Roman"/>
        </w:rPr>
        <w:t>，及时</w:t>
      </w:r>
      <w:r>
        <w:rPr>
          <w:rFonts w:hint="eastAsia" w:ascii="Times New Roman" w:hAnsi="Times New Roman"/>
        </w:rPr>
        <w:t>发放因灾</w:t>
      </w:r>
      <w:r>
        <w:rPr>
          <w:rFonts w:ascii="Times New Roman" w:hAnsi="Times New Roman"/>
        </w:rPr>
        <w:t>紧急转移安置人员临时生活救助费用</w:t>
      </w:r>
      <w:r>
        <w:rPr>
          <w:rFonts w:hint="eastAsia" w:ascii="Times New Roman" w:hAnsi="Times New Roman" w:cs="宋体"/>
          <w:kern w:val="0"/>
          <w:szCs w:val="32"/>
        </w:rPr>
        <w:t>。现将办理情况答复如下。</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eastAsia="方正黑体_GBK"/>
          <w:szCs w:val="32"/>
        </w:rPr>
      </w:pPr>
      <w:r>
        <w:rPr>
          <w:rFonts w:hint="eastAsia" w:ascii="Times New Roman" w:hAnsi="Times New Roman" w:eastAsia="方正黑体_GBK"/>
          <w:szCs w:val="32"/>
        </w:rPr>
        <w:t>一、统筹推进全市应急避难场所建设</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cs="方正仿宋_GBK"/>
          <w:szCs w:val="32"/>
        </w:rPr>
      </w:pPr>
      <w:r>
        <w:rPr>
          <w:rFonts w:hint="eastAsia" w:ascii="Times New Roman" w:hAnsi="Times New Roman" w:eastAsia="方正楷体_GBK"/>
          <w:szCs w:val="32"/>
        </w:rPr>
        <w:t>（一）系统谋划</w:t>
      </w:r>
      <w:r>
        <w:rPr>
          <w:rFonts w:hint="default" w:ascii="Times New Roman" w:hAnsi="Times New Roman" w:eastAsia="方正楷体_GBK"/>
          <w:szCs w:val="32"/>
        </w:rPr>
        <w:t>部署</w:t>
      </w:r>
      <w:r>
        <w:rPr>
          <w:rFonts w:ascii="Times New Roman" w:hAnsi="Times New Roman" w:eastAsia="方正黑体_GBK"/>
          <w:szCs w:val="32"/>
        </w:rPr>
        <w:t>。</w:t>
      </w:r>
      <w:r>
        <w:rPr>
          <w:rFonts w:ascii="Times New Roman" w:hAnsi="Times New Roman"/>
          <w:szCs w:val="32"/>
        </w:rPr>
        <w:t>2023年，</w:t>
      </w:r>
      <w:r>
        <w:rPr>
          <w:rFonts w:hint="eastAsia" w:ascii="Times New Roman" w:hAnsi="Times New Roman"/>
          <w:szCs w:val="32"/>
        </w:rPr>
        <w:t>将全市8700</w:t>
      </w:r>
      <w:r>
        <w:rPr>
          <w:rFonts w:hint="default" w:ascii="Times New Roman" w:hAnsi="Times New Roman"/>
          <w:szCs w:val="32"/>
        </w:rPr>
        <w:t>余</w:t>
      </w:r>
      <w:r>
        <w:rPr>
          <w:rFonts w:hint="eastAsia" w:ascii="Times New Roman" w:hAnsi="Times New Roman"/>
          <w:szCs w:val="32"/>
        </w:rPr>
        <w:t>个行政村梳理为2.3万个自然村，按照</w:t>
      </w:r>
      <w:r>
        <w:rPr>
          <w:rFonts w:hint="eastAsia" w:ascii="Times New Roman" w:hAnsi="Times New Roman"/>
          <w:color w:val="000000"/>
          <w:kern w:val="0"/>
          <w:szCs w:val="32"/>
        </w:rPr>
        <w:t>村民步行10—15分钟可达</w:t>
      </w:r>
      <w:r>
        <w:rPr>
          <w:rFonts w:hint="eastAsia" w:ascii="Times New Roman" w:hAnsi="Times New Roman"/>
          <w:szCs w:val="32"/>
        </w:rPr>
        <w:t>原则建设</w:t>
      </w:r>
      <w:r>
        <w:rPr>
          <w:rFonts w:hint="eastAsia" w:ascii="Times New Roman" w:hAnsi="Times New Roman" w:cs="方正仿宋_GBK"/>
          <w:szCs w:val="32"/>
        </w:rPr>
        <w:t>农村地区临时避难场所</w:t>
      </w:r>
      <w:r>
        <w:rPr>
          <w:rFonts w:hint="eastAsia" w:ascii="Times New Roman" w:hAnsi="Times New Roman"/>
          <w:szCs w:val="32"/>
        </w:rPr>
        <w:t>2.56万个（持续更新）</w:t>
      </w:r>
      <w:r>
        <w:rPr>
          <w:rFonts w:ascii="Times New Roman" w:hAnsi="Times New Roman"/>
          <w:szCs w:val="32"/>
        </w:rPr>
        <w:t>，实现就近</w:t>
      </w:r>
      <w:r>
        <w:rPr>
          <w:rFonts w:hint="eastAsia" w:ascii="Times New Roman" w:hAnsi="Times New Roman"/>
          <w:szCs w:val="32"/>
        </w:rPr>
        <w:t>安全</w:t>
      </w:r>
      <w:r>
        <w:rPr>
          <w:rFonts w:ascii="Times New Roman" w:hAnsi="Times New Roman"/>
          <w:szCs w:val="32"/>
        </w:rPr>
        <w:t>避险</w:t>
      </w:r>
      <w:r>
        <w:rPr>
          <w:rFonts w:hint="eastAsia" w:ascii="Times New Roman" w:hAnsi="Times New Roman"/>
          <w:szCs w:val="32"/>
        </w:rPr>
        <w:t>。2024年，</w:t>
      </w:r>
      <w:r>
        <w:rPr>
          <w:rFonts w:ascii="Times New Roman" w:hAnsi="Times New Roman"/>
          <w:szCs w:val="32"/>
        </w:rPr>
        <w:t>会同</w:t>
      </w:r>
      <w:r>
        <w:rPr>
          <w:rFonts w:hint="eastAsia" w:ascii="Times New Roman" w:hAnsi="Times New Roman"/>
          <w:szCs w:val="32"/>
        </w:rPr>
        <w:t>14个市级部门，印发《关于加强全市应急避难场所建设的实施意见》（渝应急发〔2024〕6号），明晰部门、区县职能职责</w:t>
      </w:r>
      <w:r>
        <w:rPr>
          <w:rFonts w:hint="eastAsia" w:ascii="Times New Roman" w:hAnsi="Times New Roman" w:cs="方正仿宋_GBK"/>
          <w:szCs w:val="32"/>
        </w:rPr>
        <w:t>。</w:t>
      </w:r>
      <w:r>
        <w:rPr>
          <w:rFonts w:hint="eastAsia" w:ascii="Times New Roman" w:hAnsi="Times New Roman" w:cs="方正仿宋_GBK"/>
          <w:bCs/>
          <w:szCs w:val="32"/>
        </w:rPr>
        <w:t>结合我市超大城市</w:t>
      </w:r>
      <w:r>
        <w:rPr>
          <w:rFonts w:hint="default" w:ascii="Times New Roman" w:hAnsi="Times New Roman" w:cs="方正仿宋_GBK"/>
          <w:bCs/>
          <w:szCs w:val="32"/>
        </w:rPr>
        <w:t>治理</w:t>
      </w:r>
      <w:r>
        <w:rPr>
          <w:rFonts w:hint="eastAsia" w:ascii="Times New Roman" w:hAnsi="Times New Roman" w:cs="方正仿宋_GBK"/>
          <w:bCs/>
          <w:szCs w:val="32"/>
        </w:rPr>
        <w:t>、韧性城市建设、</w:t>
      </w:r>
      <w:r>
        <w:rPr>
          <w:rFonts w:hint="eastAsia" w:ascii="Times New Roman" w:hAnsi="Times New Roman" w:cs="方正仿宋_GBK"/>
          <w:bCs/>
          <w:szCs w:val="32"/>
          <w:lang w:eastAsia="zh-CN"/>
        </w:rPr>
        <w:t>“</w:t>
      </w:r>
      <w:r>
        <w:rPr>
          <w:rFonts w:hint="eastAsia" w:ascii="Times New Roman" w:hAnsi="Times New Roman" w:cs="方正仿宋_GBK"/>
          <w:bCs/>
          <w:szCs w:val="32"/>
        </w:rPr>
        <w:t>15分钟生活圈</w:t>
      </w:r>
      <w:r>
        <w:rPr>
          <w:rFonts w:hint="eastAsia" w:ascii="Times New Roman" w:hAnsi="Times New Roman" w:cs="方正仿宋_GBK"/>
          <w:bCs/>
          <w:szCs w:val="32"/>
          <w:lang w:eastAsia="zh-CN"/>
        </w:rPr>
        <w:t>”</w:t>
      </w:r>
      <w:r>
        <w:rPr>
          <w:rFonts w:hint="eastAsia" w:ascii="Times New Roman" w:hAnsi="Times New Roman" w:cs="方正仿宋_GBK"/>
          <w:bCs/>
          <w:szCs w:val="32"/>
        </w:rPr>
        <w:t>等规划，立足</w:t>
      </w:r>
      <w:r>
        <w:rPr>
          <w:rFonts w:hint="eastAsia" w:ascii="Times New Roman" w:hAnsi="Times New Roman" w:cs="方正仿宋_GBK"/>
          <w:bCs/>
          <w:szCs w:val="32"/>
          <w:lang w:eastAsia="zh-CN"/>
        </w:rPr>
        <w:t>“</w:t>
      </w:r>
      <w:r>
        <w:rPr>
          <w:rFonts w:hint="eastAsia" w:ascii="Times New Roman" w:hAnsi="Times New Roman" w:cs="方正仿宋_GBK"/>
          <w:bCs/>
          <w:szCs w:val="32"/>
        </w:rPr>
        <w:t>平急</w:t>
      </w:r>
      <w:r>
        <w:rPr>
          <w:rFonts w:hint="eastAsia" w:ascii="Times New Roman" w:hAnsi="Times New Roman" w:cs="方正仿宋_GBK"/>
          <w:bCs/>
          <w:szCs w:val="32"/>
          <w:lang w:eastAsia="zh-CN"/>
        </w:rPr>
        <w:t>”</w:t>
      </w:r>
      <w:r>
        <w:rPr>
          <w:rFonts w:hint="eastAsia" w:ascii="Times New Roman" w:hAnsi="Times New Roman" w:cs="方正仿宋_GBK"/>
          <w:bCs/>
          <w:szCs w:val="32"/>
        </w:rPr>
        <w:t>结合，统筹防空</w:t>
      </w:r>
      <w:r>
        <w:rPr>
          <w:rFonts w:ascii="Times New Roman" w:hAnsi="Times New Roman" w:cs="方正仿宋_GBK"/>
          <w:bCs/>
          <w:szCs w:val="32"/>
        </w:rPr>
        <w:t>和</w:t>
      </w:r>
      <w:r>
        <w:rPr>
          <w:rFonts w:hint="eastAsia" w:ascii="Times New Roman" w:hAnsi="Times New Roman" w:cs="方正仿宋_GBK"/>
          <w:bCs/>
          <w:szCs w:val="32"/>
        </w:rPr>
        <w:t>防灾减灾</w:t>
      </w:r>
      <w:r>
        <w:rPr>
          <w:rFonts w:hint="default" w:ascii="Times New Roman" w:hAnsi="Times New Roman" w:cs="方正仿宋_GBK"/>
          <w:bCs/>
          <w:szCs w:val="32"/>
        </w:rPr>
        <w:t>救灾</w:t>
      </w:r>
      <w:r>
        <w:rPr>
          <w:rFonts w:hint="eastAsia" w:ascii="Times New Roman" w:hAnsi="Times New Roman" w:cs="方正仿宋_GBK"/>
          <w:bCs/>
          <w:szCs w:val="32"/>
        </w:rPr>
        <w:t>、防疫、文化、教育、体育、旅游及城乡基础设施等应急避难资源，编制《重庆市中心城区应急避难场所专项规划（2024</w:t>
      </w:r>
      <w:r>
        <w:rPr>
          <w:rFonts w:hint="eastAsia" w:ascii="Times New Roman" w:hAnsi="Times New Roman" w:cs="方正仿宋_GBK"/>
          <w:bCs/>
          <w:szCs w:val="32"/>
          <w:lang w:eastAsia="zh-CN"/>
        </w:rPr>
        <w:t>—</w:t>
      </w:r>
      <w:r>
        <w:rPr>
          <w:rFonts w:hint="eastAsia" w:ascii="Times New Roman" w:hAnsi="Times New Roman" w:cs="方正仿宋_GBK"/>
          <w:bCs/>
          <w:szCs w:val="32"/>
        </w:rPr>
        <w:t>2035年）》</w:t>
      </w:r>
      <w:r>
        <w:rPr>
          <w:rFonts w:ascii="Times New Roman" w:hAnsi="Times New Roman" w:cs="方正仿宋_GBK"/>
          <w:bCs/>
          <w:szCs w:val="32"/>
        </w:rPr>
        <w:t>。</w:t>
      </w:r>
      <w:r>
        <w:rPr>
          <w:rFonts w:hint="eastAsia" w:ascii="Times New Roman" w:hAnsi="Times New Roman" w:cs="方正仿宋_GBK"/>
          <w:bCs/>
          <w:szCs w:val="32"/>
        </w:rPr>
        <w:t>统筹</w:t>
      </w:r>
      <w:r>
        <w:rPr>
          <w:rFonts w:hint="default" w:ascii="Times New Roman" w:hAnsi="Times New Roman" w:cs="方正仿宋_GBK"/>
          <w:bCs/>
          <w:szCs w:val="32"/>
        </w:rPr>
        <w:t>指导</w:t>
      </w:r>
      <w:r>
        <w:rPr>
          <w:rFonts w:hint="eastAsia" w:ascii="Times New Roman" w:hAnsi="Times New Roman" w:cs="方正仿宋_GBK"/>
          <w:szCs w:val="32"/>
        </w:rPr>
        <w:t>主城</w:t>
      </w:r>
      <w:r>
        <w:rPr>
          <w:rFonts w:hint="default" w:ascii="Times New Roman" w:hAnsi="Times New Roman" w:cs="方正仿宋_GBK"/>
          <w:szCs w:val="32"/>
        </w:rPr>
        <w:t>都市</w:t>
      </w:r>
      <w:r>
        <w:rPr>
          <w:rFonts w:hint="eastAsia" w:ascii="Times New Roman" w:hAnsi="Times New Roman" w:cs="方正仿宋_GBK"/>
          <w:szCs w:val="32"/>
        </w:rPr>
        <w:t>区、渝东北三峡库区及渝东南武陵山区开展</w:t>
      </w:r>
      <w:r>
        <w:rPr>
          <w:rFonts w:hint="eastAsia" w:ascii="Times New Roman" w:hAnsi="Times New Roman" w:cs="方正仿宋_GBK"/>
          <w:bCs/>
          <w:szCs w:val="32"/>
        </w:rPr>
        <w:t>应急</w:t>
      </w:r>
      <w:r>
        <w:rPr>
          <w:rFonts w:ascii="Times New Roman" w:hAnsi="Times New Roman" w:cs="方正仿宋_GBK"/>
          <w:bCs/>
          <w:szCs w:val="32"/>
        </w:rPr>
        <w:t>避难场所</w:t>
      </w:r>
      <w:r>
        <w:rPr>
          <w:rFonts w:hint="eastAsia" w:ascii="Times New Roman" w:hAnsi="Times New Roman" w:cs="方正仿宋_GBK"/>
          <w:bCs/>
          <w:szCs w:val="32"/>
        </w:rPr>
        <w:t>专项</w:t>
      </w:r>
      <w:r>
        <w:rPr>
          <w:rFonts w:ascii="Times New Roman" w:hAnsi="Times New Roman" w:cs="方正仿宋_GBK"/>
          <w:bCs/>
          <w:szCs w:val="32"/>
        </w:rPr>
        <w:t>规划，</w:t>
      </w:r>
      <w:r>
        <w:rPr>
          <w:rFonts w:hint="eastAsia" w:ascii="Times New Roman" w:hAnsi="Times New Roman" w:cs="方正仿宋_GBK"/>
          <w:bCs/>
          <w:szCs w:val="32"/>
        </w:rPr>
        <w:t>合理布局应急避难场所点位，该项工作</w:t>
      </w:r>
      <w:r>
        <w:rPr>
          <w:rFonts w:hint="eastAsia" w:ascii="Times New Roman" w:hAnsi="Times New Roman" w:cs="方正仿宋_GBK"/>
          <w:szCs w:val="32"/>
        </w:rPr>
        <w:t>预计</w:t>
      </w:r>
      <w:r>
        <w:rPr>
          <w:rFonts w:hint="default" w:ascii="Times New Roman" w:hAnsi="Times New Roman" w:cs="Times New Roman"/>
          <w:szCs w:val="32"/>
        </w:rPr>
        <w:t>2025</w:t>
      </w:r>
      <w:r>
        <w:rPr>
          <w:rFonts w:hint="eastAsia" w:ascii="Times New Roman" w:hAnsi="Times New Roman" w:cs="方正仿宋_GBK"/>
          <w:szCs w:val="32"/>
        </w:rPr>
        <w:t>年内完成。</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rPr>
      </w:pPr>
      <w:r>
        <w:rPr>
          <w:rFonts w:hint="eastAsia" w:ascii="Times New Roman" w:hAnsi="Times New Roman" w:eastAsia="方正楷体_GBK"/>
        </w:rPr>
        <w:t>（二）</w:t>
      </w:r>
      <w:r>
        <w:rPr>
          <w:rFonts w:hint="default" w:ascii="Times New Roman" w:hAnsi="Times New Roman" w:eastAsia="方正楷体_GBK"/>
        </w:rPr>
        <w:t>有序组织</w:t>
      </w:r>
      <w:r>
        <w:rPr>
          <w:rFonts w:hint="eastAsia" w:ascii="Times New Roman" w:hAnsi="Times New Roman" w:eastAsia="方正楷体_GBK"/>
        </w:rPr>
        <w:t>实施</w:t>
      </w:r>
      <w:r>
        <w:rPr>
          <w:rFonts w:hint="eastAsia" w:ascii="Times New Roman" w:hAnsi="Times New Roman"/>
        </w:rPr>
        <w:t>。市应急管理局统筹指导各</w:t>
      </w:r>
      <w:r>
        <w:rPr>
          <w:rFonts w:ascii="Times New Roman" w:hAnsi="Times New Roman"/>
        </w:rPr>
        <w:t>区县落实应急避难场所建设主体责任，</w:t>
      </w:r>
      <w:r>
        <w:rPr>
          <w:rFonts w:hint="eastAsia" w:ascii="Times New Roman" w:hAnsi="Times New Roman" w:cs="方正仿宋_GBK"/>
          <w:bCs/>
          <w:szCs w:val="32"/>
        </w:rPr>
        <w:t>按照规划布局和应急避难场所建设相关规范标准，</w:t>
      </w:r>
      <w:r>
        <w:rPr>
          <w:rFonts w:hint="eastAsia" w:ascii="Times New Roman" w:hAnsi="Times New Roman"/>
        </w:rPr>
        <w:t>整合</w:t>
      </w:r>
      <w:r>
        <w:rPr>
          <w:rFonts w:ascii="Times New Roman" w:hAnsi="Times New Roman"/>
        </w:rPr>
        <w:t>资源</w:t>
      </w:r>
      <w:r>
        <w:rPr>
          <w:rFonts w:hint="eastAsia" w:ascii="Times New Roman" w:hAnsi="Times New Roman"/>
        </w:rPr>
        <w:t>、</w:t>
      </w:r>
      <w:r>
        <w:rPr>
          <w:rFonts w:ascii="Times New Roman" w:hAnsi="Times New Roman"/>
        </w:rPr>
        <w:t>科学配置</w:t>
      </w:r>
      <w:r>
        <w:rPr>
          <w:rFonts w:hint="eastAsia" w:ascii="Times New Roman" w:hAnsi="Times New Roman"/>
        </w:rPr>
        <w:t>，有序实施</w:t>
      </w:r>
      <w:r>
        <w:rPr>
          <w:rFonts w:hint="eastAsia" w:ascii="Times New Roman" w:hAnsi="Times New Roman" w:cs="方正仿宋_GBK"/>
          <w:bCs/>
          <w:szCs w:val="32"/>
        </w:rPr>
        <w:t>应急避难场所建设。</w:t>
      </w:r>
      <w:r>
        <w:rPr>
          <w:rFonts w:hint="eastAsia" w:ascii="Times New Roman" w:hAnsi="Times New Roman"/>
        </w:rPr>
        <w:t>市财政</w:t>
      </w:r>
      <w:r>
        <w:rPr>
          <w:rFonts w:hint="default" w:ascii="Times New Roman" w:hAnsi="Times New Roman"/>
        </w:rPr>
        <w:t>局</w:t>
      </w:r>
      <w:r>
        <w:rPr>
          <w:rFonts w:hint="eastAsia" w:ascii="Times New Roman" w:hAnsi="Times New Roman"/>
        </w:rPr>
        <w:t>将在应急避难场所规划、项目审核、资金保障等方面给予支持，健全完善应急避难场所建设与当地经济社会发展和公共安全需求相协调的投入保障机制，根据实际需要和财力可能，合理安排经费，加强对全市灾害易发多发地区，特别是灾害高风险农村地区应急避难场所建设经费保障，鼓励社会资本投入。</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szCs w:val="32"/>
        </w:rPr>
      </w:pPr>
      <w:r>
        <w:rPr>
          <w:rFonts w:hint="eastAsia" w:ascii="Times New Roman" w:hAnsi="Times New Roman" w:eastAsia="方正楷体_GBK"/>
          <w:szCs w:val="32"/>
        </w:rPr>
        <w:t>（三）注重发挥实效</w:t>
      </w:r>
      <w:r>
        <w:rPr>
          <w:rFonts w:ascii="Times New Roman" w:hAnsi="Times New Roman" w:eastAsia="方正黑体_GBK"/>
          <w:szCs w:val="32"/>
        </w:rPr>
        <w:t>。</w:t>
      </w:r>
      <w:r>
        <w:rPr>
          <w:rFonts w:hint="eastAsia" w:ascii="Times New Roman" w:hAnsi="Times New Roman"/>
          <w:szCs w:val="32"/>
        </w:rPr>
        <w:t>将</w:t>
      </w:r>
      <w:r>
        <w:rPr>
          <w:rFonts w:ascii="Times New Roman" w:hAnsi="Times New Roman"/>
          <w:szCs w:val="32"/>
        </w:rPr>
        <w:t>全市</w:t>
      </w:r>
      <w:r>
        <w:rPr>
          <w:rFonts w:hint="eastAsia" w:ascii="Times New Roman" w:hAnsi="Times New Roman"/>
          <w:szCs w:val="32"/>
        </w:rPr>
        <w:t>各级各类避难场所资源纳入全市</w:t>
      </w:r>
      <w:r>
        <w:rPr>
          <w:rFonts w:hint="eastAsia" w:ascii="Times New Roman" w:hAnsi="Times New Roman"/>
          <w:szCs w:val="32"/>
          <w:lang w:eastAsia="zh-CN"/>
        </w:rPr>
        <w:t>“</w:t>
      </w:r>
      <w:r>
        <w:rPr>
          <w:rFonts w:ascii="Times New Roman" w:hAnsi="Times New Roman"/>
          <w:szCs w:val="32"/>
        </w:rPr>
        <w:t>数字应急</w:t>
      </w:r>
      <w:r>
        <w:rPr>
          <w:rFonts w:hint="eastAsia" w:ascii="Times New Roman" w:hAnsi="Times New Roman" w:cs="方正仿宋_GBK"/>
          <w:szCs w:val="32"/>
        </w:rPr>
        <w:t>·</w:t>
      </w:r>
      <w:r>
        <w:rPr>
          <w:rFonts w:hint="eastAsia" w:ascii="Times New Roman" w:hAnsi="Times New Roman"/>
          <w:szCs w:val="32"/>
        </w:rPr>
        <w:t>自然灾害防减救</w:t>
      </w:r>
      <w:r>
        <w:rPr>
          <w:rFonts w:hint="eastAsia" w:ascii="Times New Roman" w:hAnsi="Times New Roman"/>
          <w:szCs w:val="32"/>
          <w:lang w:eastAsia="zh-CN"/>
        </w:rPr>
        <w:t>”</w:t>
      </w:r>
      <w:r>
        <w:rPr>
          <w:rFonts w:hint="eastAsia" w:ascii="Times New Roman" w:hAnsi="Times New Roman"/>
          <w:szCs w:val="32"/>
        </w:rPr>
        <w:t>综合场景，</w:t>
      </w:r>
      <w:r>
        <w:rPr>
          <w:rFonts w:ascii="Times New Roman" w:hAnsi="Times New Roman"/>
          <w:szCs w:val="32"/>
        </w:rPr>
        <w:t>为</w:t>
      </w:r>
      <w:r>
        <w:rPr>
          <w:rFonts w:hint="eastAsia" w:ascii="Times New Roman" w:hAnsi="Times New Roman"/>
          <w:szCs w:val="32"/>
        </w:rPr>
        <w:t>避险转移和救援决策提供重要</w:t>
      </w:r>
      <w:r>
        <w:rPr>
          <w:rFonts w:ascii="Times New Roman" w:hAnsi="Times New Roman"/>
          <w:szCs w:val="32"/>
        </w:rPr>
        <w:t>支撑</w:t>
      </w:r>
      <w:r>
        <w:rPr>
          <w:rFonts w:hint="eastAsia" w:ascii="Times New Roman" w:hAnsi="Times New Roman"/>
          <w:szCs w:val="32"/>
        </w:rPr>
        <w:t>。同规划自然资源、水利等部门共享信息，推动多跨协同，发挥实战实效。</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cs="方正仿宋_GBK"/>
          <w:bCs/>
          <w:szCs w:val="32"/>
        </w:rPr>
      </w:pPr>
      <w:r>
        <w:rPr>
          <w:rFonts w:hint="eastAsia" w:ascii="Times New Roman" w:hAnsi="Times New Roman" w:eastAsia="方正楷体_GBK"/>
          <w:szCs w:val="32"/>
        </w:rPr>
        <w:t>（四）强化管理维护</w:t>
      </w:r>
      <w:r>
        <w:rPr>
          <w:rFonts w:ascii="Times New Roman" w:hAnsi="Times New Roman" w:eastAsia="方正黑体_GBK"/>
          <w:szCs w:val="32"/>
        </w:rPr>
        <w:t>。</w:t>
      </w:r>
      <w:r>
        <w:rPr>
          <w:rFonts w:ascii="Times New Roman" w:hAnsi="Times New Roman" w:cs="方正仿宋_GBK"/>
          <w:bCs/>
          <w:szCs w:val="32"/>
        </w:rPr>
        <w:t>统筹谋划全</w:t>
      </w:r>
      <w:r>
        <w:rPr>
          <w:rFonts w:hint="eastAsia" w:ascii="Times New Roman" w:hAnsi="Times New Roman" w:cs="方正仿宋_GBK"/>
          <w:bCs/>
          <w:szCs w:val="32"/>
        </w:rPr>
        <w:t>市应急避难场所安全评估工作，</w:t>
      </w:r>
      <w:r>
        <w:rPr>
          <w:rFonts w:ascii="Times New Roman" w:hAnsi="Times New Roman" w:cs="方正仿宋_GBK"/>
          <w:bCs/>
          <w:szCs w:val="32"/>
        </w:rPr>
        <w:t>全面客观评估应急避难场所安全状况，规范选址，加强动态管理，为应急避难场所规范化管理提供参考依据</w:t>
      </w:r>
      <w:r>
        <w:rPr>
          <w:rFonts w:hint="eastAsia" w:ascii="Times New Roman" w:hAnsi="Times New Roman" w:cs="方正仿宋_GBK"/>
          <w:bCs/>
          <w:szCs w:val="32"/>
        </w:rPr>
        <w:t>，</w:t>
      </w:r>
      <w:r>
        <w:rPr>
          <w:rFonts w:hint="eastAsia" w:ascii="Times New Roman" w:hAnsi="Times New Roman"/>
        </w:rPr>
        <w:t>保障转移</w:t>
      </w:r>
      <w:r>
        <w:rPr>
          <w:rFonts w:ascii="Times New Roman" w:hAnsi="Times New Roman"/>
        </w:rPr>
        <w:t>群众</w:t>
      </w:r>
      <w:r>
        <w:rPr>
          <w:rFonts w:hint="eastAsia" w:ascii="Times New Roman" w:hAnsi="Times New Roman"/>
        </w:rPr>
        <w:t>人身安全</w:t>
      </w:r>
      <w:r>
        <w:rPr>
          <w:rFonts w:ascii="Times New Roman" w:hAnsi="Times New Roman" w:cs="方正仿宋_GBK"/>
          <w:bCs/>
          <w:szCs w:val="32"/>
        </w:rPr>
        <w:t>。</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cs="方正仿宋_GBK"/>
          <w:bCs/>
          <w:szCs w:val="32"/>
        </w:rPr>
      </w:pPr>
      <w:r>
        <w:rPr>
          <w:rFonts w:hint="eastAsia" w:ascii="Times New Roman" w:hAnsi="Times New Roman" w:eastAsia="方正楷体_GBK"/>
          <w:szCs w:val="32"/>
        </w:rPr>
        <w:t>（五）加强宣教演</w:t>
      </w:r>
      <w:bookmarkStart w:id="3" w:name="_GoBack"/>
      <w:bookmarkEnd w:id="3"/>
      <w:r>
        <w:rPr>
          <w:rFonts w:hint="eastAsia" w:ascii="Times New Roman" w:hAnsi="Times New Roman" w:eastAsia="方正楷体_GBK"/>
          <w:szCs w:val="32"/>
        </w:rPr>
        <w:t>训</w:t>
      </w:r>
      <w:r>
        <w:rPr>
          <w:rFonts w:ascii="Times New Roman" w:hAnsi="Times New Roman" w:eastAsia="方正黑体_GBK" w:cs="方正仿宋_GBK"/>
          <w:bCs/>
          <w:szCs w:val="32"/>
        </w:rPr>
        <w:t>。</w:t>
      </w:r>
      <w:r>
        <w:rPr>
          <w:rFonts w:hint="eastAsia" w:ascii="Times New Roman" w:hAnsi="Times New Roman" w:cs="方正仿宋_GBK"/>
          <w:bCs/>
          <w:szCs w:val="32"/>
        </w:rPr>
        <w:t>充分利用</w:t>
      </w:r>
      <w:r>
        <w:rPr>
          <w:rFonts w:hint="eastAsia" w:ascii="Times New Roman" w:hAnsi="Times New Roman" w:cs="方正仿宋_GBK"/>
          <w:bCs/>
          <w:szCs w:val="32"/>
          <w:lang w:eastAsia="zh-CN"/>
        </w:rPr>
        <w:t>“</w:t>
      </w:r>
      <w:r>
        <w:rPr>
          <w:rFonts w:hint="eastAsia" w:ascii="Times New Roman" w:hAnsi="Times New Roman" w:cs="方正仿宋_GBK"/>
          <w:bCs/>
          <w:szCs w:val="32"/>
        </w:rPr>
        <w:t>5·12</w:t>
      </w:r>
      <w:r>
        <w:rPr>
          <w:rFonts w:hint="eastAsia" w:ascii="Times New Roman" w:hAnsi="Times New Roman" w:cs="方正仿宋_GBK"/>
          <w:bCs/>
          <w:szCs w:val="32"/>
          <w:lang w:eastAsia="zh-CN"/>
        </w:rPr>
        <w:t>”</w:t>
      </w:r>
      <w:r>
        <w:rPr>
          <w:rFonts w:ascii="Times New Roman" w:hAnsi="Times New Roman" w:cs="方正仿宋_GBK"/>
          <w:bCs/>
          <w:szCs w:val="32"/>
        </w:rPr>
        <w:t>全国</w:t>
      </w:r>
      <w:r>
        <w:rPr>
          <w:rFonts w:hint="eastAsia" w:ascii="Times New Roman" w:hAnsi="Times New Roman" w:cs="方正仿宋_GBK"/>
          <w:bCs/>
          <w:szCs w:val="32"/>
        </w:rPr>
        <w:t>防灾减灾日、安全生产月等重要时间节点，统筹各级各相关部门，运用</w:t>
      </w:r>
      <w:r>
        <w:rPr>
          <w:rFonts w:ascii="Times New Roman" w:hAnsi="Times New Roman" w:cs="方正仿宋_GBK"/>
          <w:bCs/>
          <w:szCs w:val="32"/>
        </w:rPr>
        <w:t>广播电视、新媒体、公共交通媒介、人员密集场所大屏幕等多种手段，常态化开展防灾减灾、应急避险等科普宣教</w:t>
      </w:r>
      <w:r>
        <w:rPr>
          <w:rFonts w:hint="eastAsia" w:ascii="Times New Roman" w:hAnsi="Times New Roman" w:cs="方正仿宋_GBK"/>
          <w:bCs/>
          <w:szCs w:val="32"/>
        </w:rPr>
        <w:t>；</w:t>
      </w:r>
      <w:r>
        <w:rPr>
          <w:rFonts w:ascii="Times New Roman" w:hAnsi="Times New Roman" w:cs="方正仿宋_GBK"/>
          <w:bCs/>
          <w:szCs w:val="32"/>
        </w:rPr>
        <w:t>统筹督导乡镇（街道）、村（社区）以</w:t>
      </w:r>
      <w:r>
        <w:rPr>
          <w:rFonts w:hint="eastAsia" w:ascii="Times New Roman" w:hAnsi="Times New Roman" w:cs="方正仿宋_GBK"/>
          <w:bCs/>
          <w:szCs w:val="32"/>
        </w:rPr>
        <w:t>应急</w:t>
      </w:r>
      <w:r>
        <w:rPr>
          <w:rFonts w:ascii="Times New Roman" w:hAnsi="Times New Roman" w:cs="方正仿宋_GBK"/>
          <w:bCs/>
          <w:szCs w:val="32"/>
        </w:rPr>
        <w:t>避难场所覆盖区域为单元，组织开展避险转移单点演练，切实增强群众应急避险意识和能力。</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eastAsia="方正黑体_GBK" w:cs="方正黑体_GBK"/>
          <w:kern w:val="0"/>
          <w:szCs w:val="32"/>
        </w:rPr>
      </w:pPr>
      <w:r>
        <w:rPr>
          <w:rFonts w:hint="eastAsia" w:ascii="Times New Roman" w:hAnsi="Times New Roman" w:eastAsia="方正黑体_GBK" w:cs="方正黑体_GBK"/>
          <w:kern w:val="0"/>
          <w:szCs w:val="32"/>
        </w:rPr>
        <w:t>二、提高</w:t>
      </w:r>
      <w:r>
        <w:rPr>
          <w:rFonts w:ascii="Times New Roman" w:hAnsi="Times New Roman" w:eastAsia="方正黑体_GBK" w:cs="方正黑体_GBK"/>
          <w:kern w:val="0"/>
          <w:szCs w:val="32"/>
        </w:rPr>
        <w:t>紧急转移安置人员</w:t>
      </w:r>
      <w:r>
        <w:rPr>
          <w:rFonts w:hint="eastAsia" w:ascii="Times New Roman" w:hAnsi="Times New Roman" w:eastAsia="方正黑体_GBK" w:cs="方正黑体_GBK"/>
          <w:kern w:val="0"/>
          <w:szCs w:val="32"/>
        </w:rPr>
        <w:t>救助标准</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cs="宋体"/>
          <w:kern w:val="0"/>
          <w:szCs w:val="32"/>
        </w:rPr>
      </w:pPr>
      <w:r>
        <w:rPr>
          <w:rFonts w:hint="eastAsia" w:ascii="Times New Roman" w:hAnsi="Times New Roman" w:eastAsia="方正楷体_GBK" w:cs="宋体"/>
          <w:kern w:val="0"/>
          <w:szCs w:val="32"/>
        </w:rPr>
        <w:t>（一）现行救助标准</w:t>
      </w:r>
      <w:r>
        <w:rPr>
          <w:rFonts w:hint="eastAsia" w:ascii="Times New Roman" w:hAnsi="Times New Roman" w:cs="宋体"/>
          <w:kern w:val="0"/>
          <w:szCs w:val="32"/>
        </w:rPr>
        <w:t>。</w:t>
      </w:r>
      <w:r>
        <w:rPr>
          <w:rFonts w:hint="eastAsia" w:ascii="Times New Roman" w:hAnsi="Times New Roman"/>
          <w:szCs w:val="32"/>
        </w:rPr>
        <w:t>2022年，市应急管理局、市财政局</w:t>
      </w:r>
      <w:r>
        <w:rPr>
          <w:rFonts w:ascii="Times New Roman" w:hAnsi="Times New Roman"/>
          <w:szCs w:val="32"/>
        </w:rPr>
        <w:t>联合</w:t>
      </w:r>
      <w:r>
        <w:rPr>
          <w:rFonts w:hint="eastAsia" w:ascii="Times New Roman" w:hAnsi="Times New Roman"/>
          <w:szCs w:val="32"/>
        </w:rPr>
        <w:t>印发《重庆市自然灾害生活救助资金管理实施方案》</w:t>
      </w:r>
      <w:r>
        <w:rPr>
          <w:rFonts w:ascii="Times New Roman" w:hAnsi="Times New Roman"/>
        </w:rPr>
        <w:t>（渝应急发〔2022〕76号）</w:t>
      </w:r>
      <w:r>
        <w:rPr>
          <w:rFonts w:hint="eastAsia" w:ascii="Times New Roman" w:hAnsi="Times New Roman"/>
          <w:szCs w:val="32"/>
        </w:rPr>
        <w:t>，明确7大救助项目及其标准。</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szCs w:val="32"/>
        </w:rPr>
      </w:pPr>
      <w:r>
        <w:rPr>
          <w:rFonts w:hint="eastAsia" w:ascii="Times New Roman" w:hAnsi="Times New Roman"/>
          <w:szCs w:val="32"/>
        </w:rPr>
        <w:t>1．灾害应急救助：20元/天·人，原则上不超过15天。</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szCs w:val="32"/>
        </w:rPr>
      </w:pPr>
      <w:r>
        <w:rPr>
          <w:rFonts w:hint="eastAsia" w:ascii="Times New Roman" w:hAnsi="Times New Roman"/>
          <w:szCs w:val="32"/>
        </w:rPr>
        <w:t>2．遇难人员家属抚慰：16000元/人，一次性发放。</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szCs w:val="32"/>
        </w:rPr>
      </w:pPr>
      <w:r>
        <w:rPr>
          <w:rFonts w:hint="eastAsia" w:ascii="Times New Roman" w:hAnsi="Times New Roman"/>
          <w:szCs w:val="32"/>
        </w:rPr>
        <w:t>3．过渡期生活救助：20元/天·人，原则上不超过3个月。</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szCs w:val="32"/>
        </w:rPr>
      </w:pPr>
      <w:r>
        <w:rPr>
          <w:rFonts w:hint="eastAsia" w:ascii="Times New Roman" w:hAnsi="Times New Roman"/>
          <w:szCs w:val="32"/>
        </w:rPr>
        <w:t>4．倒损住房恢复重建补助：5000元/间，4间及以上20000元/户。</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szCs w:val="32"/>
        </w:rPr>
      </w:pPr>
      <w:r>
        <w:rPr>
          <w:rFonts w:hint="eastAsia" w:ascii="Times New Roman" w:hAnsi="Times New Roman"/>
          <w:szCs w:val="32"/>
        </w:rPr>
        <w:t>5．旱灾临时生活困难救助：20元/天·人，原则上不超过15天。</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szCs w:val="32"/>
        </w:rPr>
      </w:pPr>
      <w:r>
        <w:rPr>
          <w:rFonts w:hint="eastAsia" w:ascii="Times New Roman" w:hAnsi="Times New Roman"/>
          <w:szCs w:val="32"/>
        </w:rPr>
        <w:t>6．冬春临时生活困难救助：不低于150元/人，可提供衣被救助。</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szCs w:val="32"/>
        </w:rPr>
      </w:pPr>
      <w:r>
        <w:rPr>
          <w:rFonts w:hint="eastAsia" w:ascii="Times New Roman" w:hAnsi="Times New Roman"/>
          <w:szCs w:val="32"/>
        </w:rPr>
        <w:t>7．物资救助：按户、按人标准发放帐篷、折叠床、棉被等物资。</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szCs w:val="32"/>
        </w:rPr>
      </w:pPr>
      <w:r>
        <w:rPr>
          <w:rFonts w:hint="eastAsia" w:ascii="Times New Roman" w:hAnsi="Times New Roman"/>
          <w:szCs w:val="32"/>
        </w:rPr>
        <w:t>上述标准为市级最低指导标准，区县可根据实际情况，叠加救助项目，调整救助标准，提高救助水平。</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szCs w:val="32"/>
        </w:rPr>
      </w:pPr>
      <w:r>
        <w:rPr>
          <w:rFonts w:hint="eastAsia" w:ascii="Times New Roman" w:hAnsi="Times New Roman" w:eastAsia="方正楷体_GBK" w:cs="宋体"/>
          <w:kern w:val="0"/>
          <w:szCs w:val="32"/>
        </w:rPr>
        <w:t>（二）现行救助政策</w:t>
      </w:r>
      <w:r>
        <w:rPr>
          <w:rFonts w:hint="eastAsia" w:ascii="Times New Roman" w:hAnsi="Times New Roman" w:cs="宋体"/>
          <w:kern w:val="0"/>
          <w:szCs w:val="32"/>
        </w:rPr>
        <w:t>。</w:t>
      </w:r>
      <w:r>
        <w:rPr>
          <w:rFonts w:hint="eastAsia" w:ascii="Times New Roman" w:hAnsi="Times New Roman"/>
          <w:szCs w:val="32"/>
        </w:rPr>
        <w:t>根据《自然灾害救助条例》（国务院令第709号）规定，自然灾害救助工作遵循</w:t>
      </w:r>
      <w:r>
        <w:rPr>
          <w:rFonts w:hint="eastAsia" w:ascii="Times New Roman" w:hAnsi="Times New Roman"/>
          <w:szCs w:val="32"/>
          <w:lang w:eastAsia="zh-CN"/>
        </w:rPr>
        <w:t>“</w:t>
      </w:r>
      <w:r>
        <w:rPr>
          <w:rFonts w:hint="eastAsia" w:ascii="Times New Roman" w:hAnsi="Times New Roman"/>
          <w:szCs w:val="32"/>
        </w:rPr>
        <w:t>以人为本、政府主导、分级管理、社会互助、灾民自救</w:t>
      </w:r>
      <w:r>
        <w:rPr>
          <w:rFonts w:hint="eastAsia" w:ascii="Times New Roman" w:hAnsi="Times New Roman"/>
          <w:szCs w:val="32"/>
          <w:lang w:eastAsia="zh-CN"/>
        </w:rPr>
        <w:t>”</w:t>
      </w:r>
      <w:r>
        <w:rPr>
          <w:rFonts w:hint="eastAsia" w:ascii="Times New Roman" w:hAnsi="Times New Roman"/>
          <w:szCs w:val="32"/>
        </w:rPr>
        <w:t>的原则。根据《重庆市应急救援领域市与区县财政事权支出责任划分改革方案》（渝财建</w:t>
      </w:r>
      <w:r>
        <w:rPr>
          <w:rFonts w:hint="eastAsia" w:ascii="Times New Roman" w:hAnsi="Times New Roman" w:cs="方正仿宋_GBK"/>
          <w:szCs w:val="32"/>
        </w:rPr>
        <w:t>〔2021〕6号</w:t>
      </w:r>
      <w:r>
        <w:rPr>
          <w:rFonts w:hint="eastAsia" w:ascii="Times New Roman" w:hAnsi="Times New Roman"/>
          <w:szCs w:val="32"/>
        </w:rPr>
        <w:t>）要求，全市自然灾害救助为市级与区县共同财政事权，由市级和区县按照相关职责分工分别承担支出责任。</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cs="宋体"/>
          <w:kern w:val="0"/>
          <w:szCs w:val="32"/>
        </w:rPr>
      </w:pPr>
      <w:r>
        <w:rPr>
          <w:rFonts w:hint="eastAsia" w:ascii="Times New Roman" w:hAnsi="Times New Roman" w:eastAsia="方正楷体_GBK" w:cs="宋体"/>
          <w:kern w:val="0"/>
          <w:szCs w:val="32"/>
        </w:rPr>
        <w:t>（三）救助标准调整</w:t>
      </w:r>
      <w:r>
        <w:rPr>
          <w:rFonts w:hint="eastAsia" w:ascii="Times New Roman" w:hAnsi="Times New Roman" w:cs="宋体"/>
          <w:kern w:val="0"/>
          <w:szCs w:val="32"/>
        </w:rPr>
        <w:t>。</w:t>
      </w:r>
      <w:r>
        <w:rPr>
          <w:rFonts w:hint="eastAsia" w:ascii="Times New Roman" w:hAnsi="Times New Roman"/>
        </w:rPr>
        <w:t>当前，市级层面正通过多种方式提高救助标准，以</w:t>
      </w:r>
      <w:r>
        <w:rPr>
          <w:rFonts w:ascii="Times New Roman" w:hAnsi="Times New Roman"/>
        </w:rPr>
        <w:t>保障受灾</w:t>
      </w:r>
      <w:r>
        <w:rPr>
          <w:rFonts w:hint="eastAsia" w:ascii="Times New Roman" w:hAnsi="Times New Roman"/>
        </w:rPr>
        <w:t>困难</w:t>
      </w:r>
      <w:r>
        <w:rPr>
          <w:rFonts w:ascii="Times New Roman" w:hAnsi="Times New Roman"/>
        </w:rPr>
        <w:t>群众基本生活</w:t>
      </w:r>
      <w:r>
        <w:rPr>
          <w:rFonts w:hint="eastAsia" w:ascii="Times New Roman" w:hAnsi="Times New Roman"/>
        </w:rPr>
        <w:t>。</w:t>
      </w:r>
      <w:r>
        <w:rPr>
          <w:rFonts w:hint="eastAsia" w:ascii="Times New Roman" w:hAnsi="Times New Roman"/>
          <w:bCs/>
          <w:szCs w:val="32"/>
        </w:rPr>
        <w:t>一是</w:t>
      </w:r>
      <w:r>
        <w:rPr>
          <w:rFonts w:hint="eastAsia" w:ascii="Times New Roman" w:hAnsi="Times New Roman"/>
          <w:szCs w:val="32"/>
        </w:rPr>
        <w:t>严格落实预算制度。市级5000万元年度预算资金提前下达区县，实施</w:t>
      </w:r>
      <w:r>
        <w:rPr>
          <w:rFonts w:hint="eastAsia" w:ascii="Times New Roman" w:hAnsi="Times New Roman"/>
          <w:szCs w:val="32"/>
          <w:lang w:eastAsia="zh-CN"/>
        </w:rPr>
        <w:t>“</w:t>
      </w:r>
      <w:r>
        <w:rPr>
          <w:rFonts w:hint="eastAsia" w:ascii="Times New Roman" w:hAnsi="Times New Roman"/>
          <w:szCs w:val="32"/>
        </w:rPr>
        <w:t>两年清算</w:t>
      </w:r>
      <w:r>
        <w:rPr>
          <w:rFonts w:hint="eastAsia" w:ascii="Times New Roman" w:hAnsi="Times New Roman"/>
          <w:szCs w:val="32"/>
          <w:lang w:eastAsia="zh-CN"/>
        </w:rPr>
        <w:t>”</w:t>
      </w:r>
      <w:r>
        <w:rPr>
          <w:rFonts w:hint="eastAsia" w:ascii="Times New Roman" w:hAnsi="Times New Roman"/>
          <w:szCs w:val="32"/>
        </w:rPr>
        <w:t>动态管理机制，统筹用于全市重灾区域灾害救助工作；当发生重特大自然灾害，当年财政预算资金不能满足救灾工作实际需要时，市财政局、市应急管理局报请市政府批准后动支市级预备费。</w:t>
      </w:r>
      <w:r>
        <w:rPr>
          <w:rFonts w:hint="eastAsia" w:ascii="Times New Roman" w:hAnsi="Times New Roman"/>
          <w:bCs/>
          <w:szCs w:val="32"/>
        </w:rPr>
        <w:t>二是</w:t>
      </w:r>
      <w:r>
        <w:rPr>
          <w:rFonts w:hint="eastAsia" w:ascii="Times New Roman" w:hAnsi="Times New Roman"/>
          <w:szCs w:val="32"/>
        </w:rPr>
        <w:t>积极争取中央支持。灾害发生后，市防减救灾办（市应急管理局）按条件、程序报请启动国家救灾应急响应，申请中央救灾款物，加大对区县救灾工作的支持力度；市财政局</w:t>
      </w:r>
      <w:r>
        <w:rPr>
          <w:rFonts w:ascii="Times New Roman" w:hAnsi="Times New Roman"/>
          <w:szCs w:val="32"/>
        </w:rPr>
        <w:t>将</w:t>
      </w:r>
      <w:r>
        <w:rPr>
          <w:rFonts w:hint="eastAsia" w:ascii="Times New Roman" w:hAnsi="Times New Roman"/>
          <w:szCs w:val="32"/>
        </w:rPr>
        <w:t>提请财政部在2026年修订《中央自然灾害救灾资金使用管理暂行办法》时，根据全国各省区市历史灾情数据，采取年初提前预拨、次年清算的方式，提高救灾资金使用效率。</w:t>
      </w:r>
      <w:r>
        <w:rPr>
          <w:rFonts w:hint="eastAsia" w:ascii="Times New Roman" w:hAnsi="Times New Roman"/>
          <w:bCs/>
          <w:szCs w:val="32"/>
        </w:rPr>
        <w:t>三是</w:t>
      </w:r>
      <w:r>
        <w:rPr>
          <w:rFonts w:hint="eastAsia" w:ascii="Times New Roman" w:hAnsi="Times New Roman"/>
          <w:szCs w:val="32"/>
        </w:rPr>
        <w:t>强化政社协同保障。健全完善巨灾保险制度，持续扩大保险覆盖面，加强同红十字会等的协调联动，积极争取社会资金支持。区县层面，</w:t>
      </w:r>
      <w:r>
        <w:rPr>
          <w:rFonts w:hint="eastAsia" w:ascii="Times New Roman" w:hAnsi="Times New Roman"/>
        </w:rPr>
        <w:t>各区县应根据本地经济发展水平和财力可能，制定本级救助实施方案，细化对受灾群众的救助项目和救助标准，并建立与当地经济社会发展水平和灾情相适应的动态调整机制，有效保障受灾群众基本生活。</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kern w:val="0"/>
          <w:szCs w:val="32"/>
        </w:rPr>
      </w:pPr>
      <w:r>
        <w:rPr>
          <w:rFonts w:ascii="Times New Roman" w:hAnsi="Times New Roman"/>
          <w:kern w:val="0"/>
          <w:szCs w:val="32"/>
        </w:rPr>
        <w:t>此答复函已经</w:t>
      </w:r>
      <w:r>
        <w:rPr>
          <w:rFonts w:hint="eastAsia" w:ascii="Times New Roman" w:hAnsi="Times New Roman"/>
          <w:kern w:val="0"/>
          <w:szCs w:val="32"/>
        </w:rPr>
        <w:t>宋平局长</w:t>
      </w:r>
      <w:r>
        <w:rPr>
          <w:rFonts w:ascii="Times New Roman" w:hAnsi="Times New Roman"/>
          <w:kern w:val="0"/>
          <w:szCs w:val="32"/>
        </w:rPr>
        <w:t>审签。对以上答复</w:t>
      </w:r>
      <w:r>
        <w:rPr>
          <w:rFonts w:hint="eastAsia" w:ascii="Times New Roman" w:hAnsi="Times New Roman"/>
          <w:kern w:val="0"/>
          <w:szCs w:val="32"/>
        </w:rPr>
        <w:t>您</w:t>
      </w:r>
      <w:r>
        <w:rPr>
          <w:rFonts w:ascii="Times New Roman" w:hAnsi="Times New Roman"/>
          <w:kern w:val="0"/>
          <w:szCs w:val="32"/>
        </w:rPr>
        <w:t>有什么意见，请及时通过人大代表全渝通应用代表议案建议场景进行评价。</w:t>
      </w:r>
    </w:p>
    <w:p>
      <w:pPr>
        <w:pStyle w:val="3"/>
        <w:keepNext w:val="0"/>
        <w:keepLines w:val="0"/>
        <w:pageBreakBefore w:val="0"/>
        <w:widowControl w:val="0"/>
        <w:kinsoku/>
        <w:wordWrap/>
        <w:overflowPunct/>
        <w:topLinePunct/>
        <w:autoSpaceDE/>
        <w:autoSpaceDN/>
        <w:bidi w:val="0"/>
        <w:adjustRightInd/>
        <w:snapToGrid/>
        <w:spacing w:after="0" w:line="594" w:lineRule="exact"/>
        <w:textAlignment w:val="auto"/>
        <w:rPr>
          <w:rFonts w:ascii="Times New Roman" w:hAnsi="Times New Roman"/>
        </w:rPr>
      </w:pPr>
    </w:p>
    <w:p>
      <w:pPr>
        <w:keepNext w:val="0"/>
        <w:keepLines w:val="0"/>
        <w:pageBreakBefore w:val="0"/>
        <w:widowControl w:val="0"/>
        <w:kinsoku/>
        <w:wordWrap/>
        <w:overflowPunct/>
        <w:topLinePunct/>
        <w:autoSpaceDE/>
        <w:autoSpaceDN/>
        <w:bidi w:val="0"/>
        <w:adjustRightInd/>
        <w:snapToGrid/>
        <w:spacing w:line="594" w:lineRule="exact"/>
        <w:ind w:firstLine="200"/>
        <w:jc w:val="center"/>
        <w:textAlignment w:val="auto"/>
        <w:rPr>
          <w:rFonts w:hint="eastAsia" w:ascii="Times New Roman" w:hAnsi="Times New Roman"/>
          <w:kern w:val="0"/>
          <w:lang w:val="en-US" w:eastAsia="zh-CN"/>
        </w:rPr>
      </w:pPr>
    </w:p>
    <w:p>
      <w:pPr>
        <w:keepNext w:val="0"/>
        <w:keepLines w:val="0"/>
        <w:pageBreakBefore w:val="0"/>
        <w:widowControl w:val="0"/>
        <w:kinsoku/>
        <w:wordWrap/>
        <w:overflowPunct/>
        <w:topLinePunct/>
        <w:autoSpaceDE/>
        <w:autoSpaceDN/>
        <w:bidi w:val="0"/>
        <w:adjustRightInd/>
        <w:snapToGrid/>
        <w:spacing w:line="594" w:lineRule="exact"/>
        <w:ind w:firstLine="200"/>
        <w:jc w:val="center"/>
        <w:textAlignment w:val="auto"/>
        <w:rPr>
          <w:rFonts w:ascii="Times New Roman" w:hAnsi="Times New Roman"/>
          <w:kern w:val="0"/>
        </w:rPr>
      </w:pPr>
      <w:r>
        <w:rPr>
          <w:rFonts w:hint="eastAsia" w:ascii="Times New Roman" w:hAnsi="Times New Roman"/>
          <w:kern w:val="0"/>
          <w:lang w:val="en-US" w:eastAsia="zh-CN"/>
        </w:rPr>
        <w:t xml:space="preserve">                       </w:t>
      </w:r>
      <w:r>
        <w:rPr>
          <w:rFonts w:ascii="Times New Roman" w:hAnsi="Times New Roman"/>
          <w:kern w:val="0"/>
        </w:rPr>
        <w:t>重庆市应急管理局</w:t>
      </w:r>
    </w:p>
    <w:p>
      <w:pPr>
        <w:keepNext w:val="0"/>
        <w:keepLines w:val="0"/>
        <w:pageBreakBefore w:val="0"/>
        <w:widowControl w:val="0"/>
        <w:kinsoku/>
        <w:wordWrap/>
        <w:overflowPunct/>
        <w:topLinePunct/>
        <w:autoSpaceDE/>
        <w:autoSpaceDN/>
        <w:bidi w:val="0"/>
        <w:adjustRightInd/>
        <w:snapToGrid/>
        <w:spacing w:line="594" w:lineRule="exact"/>
        <w:ind w:right="1280" w:rightChars="400" w:firstLine="0"/>
        <w:jc w:val="right"/>
        <w:textAlignment w:val="auto"/>
        <w:rPr>
          <w:rFonts w:ascii="Times New Roman" w:hAnsi="Times New Roman"/>
          <w:kern w:val="0"/>
        </w:rPr>
      </w:pPr>
      <w:r>
        <w:rPr>
          <w:rFonts w:ascii="Times New Roman" w:hAnsi="Times New Roman"/>
          <w:kern w:val="0"/>
        </w:rPr>
        <w:t xml:space="preserve">                              2025年4月</w:t>
      </w:r>
      <w:r>
        <w:rPr>
          <w:rFonts w:hint="eastAsia" w:ascii="Times New Roman" w:hAnsi="Times New Roman"/>
          <w:kern w:val="0"/>
          <w:lang w:val="en-US" w:eastAsia="zh-CN"/>
        </w:rPr>
        <w:t>30</w:t>
      </w:r>
      <w:r>
        <w:rPr>
          <w:rFonts w:ascii="Times New Roman" w:hAnsi="Times New Roman"/>
          <w:kern w:val="0"/>
        </w:rPr>
        <w:t>日</w:t>
      </w:r>
    </w:p>
    <w:p>
      <w:pPr>
        <w:keepNext w:val="0"/>
        <w:keepLines w:val="0"/>
        <w:pageBreakBefore w:val="0"/>
        <w:widowControl w:val="0"/>
        <w:kinsoku/>
        <w:wordWrap/>
        <w:overflowPunct/>
        <w:topLinePunct/>
        <w:autoSpaceDE/>
        <w:autoSpaceDN/>
        <w:bidi w:val="0"/>
        <w:adjustRightInd/>
        <w:snapToGrid/>
        <w:spacing w:line="594" w:lineRule="exact"/>
        <w:ind w:firstLine="200"/>
        <w:jc w:val="left"/>
        <w:textAlignment w:val="auto"/>
        <w:rPr>
          <w:rFonts w:ascii="Times New Roman" w:hAnsi="Times New Roman"/>
          <w:kern w:val="0"/>
          <w:szCs w:val="32"/>
        </w:rPr>
      </w:pP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kern w:val="0"/>
          <w:szCs w:val="32"/>
        </w:rPr>
      </w:pPr>
      <w:r>
        <w:rPr>
          <w:rFonts w:ascii="Times New Roman" w:hAnsi="Times New Roman"/>
          <w:kern w:val="0"/>
          <w:szCs w:val="32"/>
        </w:rPr>
        <w:t>联 系 人：卢峰</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kern w:val="0"/>
          <w:szCs w:val="32"/>
        </w:rPr>
      </w:pPr>
      <w:r>
        <w:rPr>
          <w:rFonts w:ascii="Times New Roman" w:hAnsi="Times New Roman"/>
          <w:kern w:val="0"/>
          <w:szCs w:val="32"/>
        </w:rPr>
        <w:t>联系电话：</w:t>
      </w:r>
      <w:r>
        <w:rPr>
          <w:rFonts w:ascii="Times New Roman" w:hAnsi="Times New Roman"/>
          <w:kern w:val="0"/>
        </w:rPr>
        <w:t>63015257、</w:t>
      </w:r>
      <w:r>
        <w:rPr>
          <w:rFonts w:ascii="Times New Roman" w:hAnsi="Times New Roman"/>
          <w:kern w:val="0"/>
          <w:szCs w:val="32"/>
        </w:rPr>
        <w:t>13594193469</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kern w:val="0"/>
          <w:szCs w:val="32"/>
        </w:rPr>
      </w:pPr>
      <w:r>
        <w:rPr>
          <w:rFonts w:ascii="Times New Roman" w:hAnsi="Times New Roman"/>
          <w:kern w:val="0"/>
          <w:szCs w:val="32"/>
        </w:rPr>
        <w:t>邮政编码：</w:t>
      </w:r>
      <w:r>
        <w:rPr>
          <w:rFonts w:ascii="Times New Roman" w:hAnsi="Times New Roman"/>
          <w:kern w:val="0"/>
        </w:rPr>
        <w:t>401121</w:t>
      </w:r>
    </w:p>
    <w:sectPr>
      <w:headerReference r:id="rId3" w:type="default"/>
      <w:footerReference r:id="rId5" w:type="default"/>
      <w:headerReference r:id="rId4" w:type="even"/>
      <w:footerReference r:id="rId6" w:type="even"/>
      <w:pgSz w:w="11906" w:h="16838"/>
      <w:pgMar w:top="1984" w:right="1446" w:bottom="1644" w:left="1446" w:header="851" w:footer="1247" w:gutter="0"/>
      <w:pgNumType w:fmt="decimal"/>
      <w:cols w:space="0" w:num="1"/>
      <w:rtlGutter w:val="0"/>
      <w:docGrid w:type="linesAndChar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both"/>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320"/>
  <w:drawingGridVerticalSpacing w:val="3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31"/>
    <w:rsid w:val="0004692A"/>
    <w:rsid w:val="000B799E"/>
    <w:rsid w:val="000F7731"/>
    <w:rsid w:val="001C21DE"/>
    <w:rsid w:val="002F344B"/>
    <w:rsid w:val="003821A8"/>
    <w:rsid w:val="00465F78"/>
    <w:rsid w:val="004C53DF"/>
    <w:rsid w:val="00556C2A"/>
    <w:rsid w:val="005D0B97"/>
    <w:rsid w:val="005E6B0B"/>
    <w:rsid w:val="00701D7D"/>
    <w:rsid w:val="00771A4F"/>
    <w:rsid w:val="007931ED"/>
    <w:rsid w:val="00807E00"/>
    <w:rsid w:val="008A3CBC"/>
    <w:rsid w:val="009C25FF"/>
    <w:rsid w:val="009D4DDB"/>
    <w:rsid w:val="00A029BE"/>
    <w:rsid w:val="00AD0519"/>
    <w:rsid w:val="00AF0A17"/>
    <w:rsid w:val="00B4368C"/>
    <w:rsid w:val="00B72CEE"/>
    <w:rsid w:val="00C526C0"/>
    <w:rsid w:val="00D333CE"/>
    <w:rsid w:val="00E25F35"/>
    <w:rsid w:val="00E63AAD"/>
    <w:rsid w:val="00E9401E"/>
    <w:rsid w:val="00FB7442"/>
    <w:rsid w:val="00FD6D16"/>
    <w:rsid w:val="00FF0D40"/>
    <w:rsid w:val="1F2F9E64"/>
    <w:rsid w:val="204C0B3B"/>
    <w:rsid w:val="243FF09F"/>
    <w:rsid w:val="3473C930"/>
    <w:rsid w:val="3CEF17FF"/>
    <w:rsid w:val="3EDBDA29"/>
    <w:rsid w:val="50EFFBF6"/>
    <w:rsid w:val="54E6A1A5"/>
    <w:rsid w:val="5B9300A3"/>
    <w:rsid w:val="5FD64456"/>
    <w:rsid w:val="5FFBBD25"/>
    <w:rsid w:val="6BFD09B8"/>
    <w:rsid w:val="6EE70F77"/>
    <w:rsid w:val="73FB0885"/>
    <w:rsid w:val="7AFFB864"/>
    <w:rsid w:val="7EC6AD8C"/>
    <w:rsid w:val="7EDC0AEF"/>
    <w:rsid w:val="7FBF7362"/>
    <w:rsid w:val="7FFD0810"/>
    <w:rsid w:val="BDD20D3B"/>
    <w:rsid w:val="CB7A3C02"/>
    <w:rsid w:val="DC1A4F76"/>
    <w:rsid w:val="EE79AAAB"/>
    <w:rsid w:val="F7FFBBE4"/>
    <w:rsid w:val="FDFFAF90"/>
    <w:rsid w:val="FEBED4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方正仿宋_GBK"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link w:val="10"/>
    <w:semiHidden/>
    <w:unhideWhenUsed/>
    <w:qFormat/>
    <w:uiPriority w:val="99"/>
    <w:pPr>
      <w:spacing w:after="120"/>
    </w:pPr>
  </w:style>
  <w:style w:type="paragraph" w:styleId="4">
    <w:name w:val="footer"/>
    <w:basedOn w:val="1"/>
    <w:link w:val="9"/>
    <w:unhideWhenUsed/>
    <w:qFormat/>
    <w:uiPriority w:val="99"/>
    <w:pPr>
      <w:tabs>
        <w:tab w:val="center" w:pos="4153"/>
        <w:tab w:val="right" w:pos="8306"/>
      </w:tabs>
      <w:suppressAutoHyphens w:val="0"/>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uppressAutoHyphens w:val="0"/>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3"/>
    <w:semiHidden/>
    <w:qFormat/>
    <w:uiPriority w:val="99"/>
    <w:rPr>
      <w:rFonts w:ascii="Calibri" w:hAnsi="Calibri" w:eastAsia="方正仿宋_GBK" w:cs="Times New Roman"/>
      <w:sz w:val="32"/>
      <w:szCs w:val="24"/>
    </w:rPr>
  </w:style>
  <w:style w:type="paragraph" w:customStyle="1" w:styleId="11">
    <w:name w:val="默认段落字体 Para Char Char Char Char Char Char Char Char Char Char Char Char"/>
    <w:basedOn w:val="1"/>
    <w:qFormat/>
    <w:uiPriority w:val="0"/>
    <w:pPr>
      <w:tabs>
        <w:tab w:val="right" w:pos="-2120"/>
      </w:tabs>
      <w:suppressAutoHyphens w:val="0"/>
      <w:adjustRightInd w:val="0"/>
      <w:snapToGrid w:val="0"/>
      <w:spacing w:line="312" w:lineRule="atLeas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2122</Words>
  <Characters>2226</Characters>
  <Lines>17</Lines>
  <Paragraphs>5</Paragraphs>
  <TotalTime>0</TotalTime>
  <ScaleCrop>false</ScaleCrop>
  <LinksUpToDate>false</LinksUpToDate>
  <CharactersWithSpaces>2404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2025-05-02T09:03:00Z</dcterms:created>
  <dc:creator>卢峰</dc:creator>
  <cp:lastModifiedBy>cqyj</cp:lastModifiedBy>
  <dcterms:modified xsi:type="dcterms:W3CDTF">2025-05-08T17:09:32Z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KSOTemplateDocerSaveRecord">
    <vt:lpwstr>eyJoZGlkIjoiY2EyNjM2YWVjMmY3MDcxZGJiNWEyOWQyZTAwOTY0YjIiLCJ1c2VySWQiOiI1ODM5NTE1MTkifQ==</vt:lpwstr>
  </property>
  <property fmtid="{D5CDD505-2E9C-101B-9397-08002B2CF9AE}" pid="4" name="ICV">
    <vt:lpwstr>D2B27CDFBDD3447190BAE6BCED0337A6_12</vt:lpwstr>
  </property>
</Properties>
</file>