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outlineLvl w:val="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全市</w:t>
      </w:r>
      <w:r>
        <w:rPr>
          <w:rFonts w:hint="eastAsia" w:ascii="方正小标宋_GBK" w:hAnsi="方正小标宋_GBK" w:eastAsia="方正小标宋_GBK" w:cs="方正小标宋_GBK"/>
          <w:bCs/>
          <w:sz w:val="44"/>
          <w:szCs w:val="44"/>
        </w:rPr>
        <w:t>工贸</w:t>
      </w:r>
      <w:r>
        <w:rPr>
          <w:rFonts w:hint="eastAsia" w:ascii="方正小标宋_GBK" w:hAnsi="方正小标宋_GBK" w:eastAsia="方正小标宋_GBK" w:cs="方正小标宋_GBK"/>
          <w:bCs/>
          <w:sz w:val="44"/>
          <w:szCs w:val="44"/>
          <w:lang w:eastAsia="zh-CN"/>
        </w:rPr>
        <w:t>企业</w:t>
      </w:r>
      <w:r>
        <w:rPr>
          <w:rFonts w:hint="eastAsia" w:ascii="方正小标宋_GBK" w:hAnsi="方正小标宋_GBK" w:eastAsia="方正小标宋_GBK" w:cs="方正小标宋_GBK"/>
          <w:bCs/>
          <w:sz w:val="44"/>
          <w:szCs w:val="44"/>
        </w:rPr>
        <w:t>危险化学品安全专项治理重点检查事项表</w:t>
      </w:r>
    </w:p>
    <w:tbl>
      <w:tblPr>
        <w:tblStyle w:val="10"/>
        <w:tblW w:w="14582" w:type="dxa"/>
        <w:tblInd w:w="0" w:type="dxa"/>
        <w:tblLayout w:type="fixed"/>
        <w:tblCellMar>
          <w:top w:w="0" w:type="dxa"/>
          <w:left w:w="0" w:type="dxa"/>
          <w:bottom w:w="0" w:type="dxa"/>
          <w:right w:w="0" w:type="dxa"/>
        </w:tblCellMar>
      </w:tblPr>
      <w:tblGrid>
        <w:gridCol w:w="460"/>
        <w:gridCol w:w="1954"/>
        <w:gridCol w:w="3829"/>
        <w:gridCol w:w="3686"/>
        <w:gridCol w:w="2698"/>
        <w:gridCol w:w="566"/>
        <w:gridCol w:w="852"/>
        <w:gridCol w:w="537"/>
      </w:tblGrid>
      <w:tr>
        <w:tblPrEx>
          <w:tblLayout w:type="fixed"/>
          <w:tblCellMar>
            <w:top w:w="0" w:type="dxa"/>
            <w:left w:w="0" w:type="dxa"/>
            <w:bottom w:w="0" w:type="dxa"/>
            <w:right w:w="0" w:type="dxa"/>
          </w:tblCellMar>
        </w:tblPrEx>
        <w:trPr>
          <w:tblHead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序号</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违规行为描述</w:t>
            </w:r>
          </w:p>
        </w:tc>
        <w:tc>
          <w:tcPr>
            <w:tcW w:w="3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检查依据</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处罚依据</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方式方法</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检查情况</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rPr>
            </w:pPr>
            <w:r>
              <w:rPr>
                <w:rFonts w:hint="eastAsia" w:ascii="方正黑体_GBK" w:hAnsi="方正黑体_GBK" w:eastAsia="方正黑体_GBK" w:cs="方正黑体_GBK"/>
                <w:b w:val="0"/>
                <w:bCs w:val="0"/>
                <w:kern w:val="0"/>
                <w:sz w:val="21"/>
                <w:szCs w:val="21"/>
              </w:rPr>
              <w:t>企业自查情况</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kern w:val="0"/>
                <w:sz w:val="21"/>
                <w:szCs w:val="21"/>
                <w:lang w:eastAsia="zh-CN"/>
              </w:rPr>
            </w:pPr>
            <w:r>
              <w:rPr>
                <w:rFonts w:hint="eastAsia" w:ascii="方正黑体_GBK" w:hAnsi="方正黑体_GBK" w:eastAsia="方正黑体_GBK" w:cs="方正黑体_GBK"/>
                <w:b w:val="0"/>
                <w:bCs w:val="0"/>
                <w:kern w:val="0"/>
                <w:sz w:val="21"/>
                <w:szCs w:val="21"/>
                <w:lang w:eastAsia="zh-CN"/>
              </w:rPr>
              <w:t>备注</w:t>
            </w: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各区县（自治县、两江新区、重庆高新区、万盛经开区、双桥经开区，以下简称区县）安委办和相关行业部门未建立本辖区、本行业领域工贸企业使用危险化学品安全台账</w:t>
            </w:r>
            <w:r>
              <w:rPr>
                <w:rFonts w:hint="eastAsia" w:ascii="方正仿宋_GBK" w:hAnsi="方正仿宋_GBK" w:eastAsia="方正仿宋_GBK" w:cs="方正仿宋_GBK"/>
                <w:kern w:val="0"/>
                <w:sz w:val="21"/>
                <w:szCs w:val="21"/>
              </w:rPr>
              <w:t>。</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w:t>
            </w:r>
            <w:r>
              <w:rPr>
                <w:rFonts w:hint="eastAsia" w:ascii="方正仿宋_GBK" w:hAnsi="方正仿宋_GBK" w:eastAsia="方正仿宋_GBK" w:cs="方正仿宋_GBK"/>
                <w:kern w:val="0"/>
                <w:sz w:val="21"/>
                <w:szCs w:val="21"/>
                <w:lang w:val="en-US" w:eastAsia="zh-CN"/>
              </w:rPr>
              <w:t>相关行业部门是否建立本辖区、本行业领域工贸企业使用危险化学品安全台账。</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企业未建立危险化学品安全管理责任制、安全风险分级管控和隐患排查治理制度、“两单两卡”（岗位风险清单、岗位</w:t>
            </w:r>
            <w:bookmarkStart w:id="0" w:name="_GoBack"/>
            <w:bookmarkEnd w:id="0"/>
            <w:r>
              <w:rPr>
                <w:rFonts w:hint="eastAsia" w:ascii="方正仿宋_GBK" w:hAnsi="方正仿宋_GBK" w:eastAsia="方正仿宋_GBK" w:cs="方正仿宋_GBK"/>
                <w:kern w:val="0"/>
                <w:sz w:val="21"/>
                <w:szCs w:val="21"/>
                <w:lang w:val="en-US" w:eastAsia="zh-CN"/>
              </w:rPr>
              <w:t>职责清单、岗位操作卡、岗位应急处置卡）等安全管理基础资料。</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四条：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（四）未建立安全风险分级管控制度或者未按照安全风险分级采取相应管控措施的；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查阅企业安全管理制度，查阅是否建立了危险化学品安全管理制度、隐患排查治理制度、</w:t>
            </w:r>
            <w:r>
              <w:rPr>
                <w:rFonts w:hint="eastAsia" w:ascii="方正仿宋_GBK" w:hAnsi="方正仿宋_GBK" w:eastAsia="方正仿宋_GBK" w:cs="方正仿宋_GBK"/>
                <w:kern w:val="0"/>
                <w:sz w:val="21"/>
                <w:szCs w:val="21"/>
                <w:lang w:val="en-US" w:eastAsia="zh-CN"/>
              </w:rPr>
              <w:t>“两单两卡”</w:t>
            </w:r>
            <w:r>
              <w:rPr>
                <w:rFonts w:hint="eastAsia" w:ascii="方正仿宋_GBK" w:hAnsi="方正仿宋_GBK" w:eastAsia="方正仿宋_GBK" w:cs="方正仿宋_GBK"/>
                <w:kern w:val="0"/>
                <w:sz w:val="21"/>
                <w:szCs w:val="21"/>
              </w:rPr>
              <w:t>和危险化学品安全风险管理台账。</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检查危险化学品的生产、储存、使用、装卸等场所是否设置了相应的安全警示标志、危险化学品理化特性告知卡、风险告知牌等。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eastAsia="zh-CN"/>
              </w:rPr>
              <w:t>企业未</w:t>
            </w:r>
            <w:r>
              <w:rPr>
                <w:rFonts w:hint="eastAsia" w:ascii="方正仿宋_GBK" w:hAnsi="方正仿宋_GBK" w:eastAsia="方正仿宋_GBK" w:cs="方正仿宋_GBK"/>
                <w:kern w:val="0"/>
                <w:sz w:val="21"/>
                <w:szCs w:val="21"/>
              </w:rPr>
              <w:t>建立在危险化学品生产、使用、储存、装卸等场所实施特殊作业（动火、进入有限空间、盲板抽堵、临时用电）</w:t>
            </w:r>
            <w:r>
              <w:rPr>
                <w:rFonts w:hint="eastAsia" w:ascii="方正仿宋_GBK" w:hAnsi="方正仿宋_GBK" w:eastAsia="方正仿宋_GBK" w:cs="方正仿宋_GBK"/>
                <w:kern w:val="0"/>
                <w:sz w:val="21"/>
                <w:szCs w:val="21"/>
                <w:lang w:eastAsia="zh-CN"/>
              </w:rPr>
              <w:t>安全</w:t>
            </w:r>
            <w:r>
              <w:rPr>
                <w:rFonts w:hint="eastAsia" w:ascii="方正仿宋_GBK" w:hAnsi="方正仿宋_GBK" w:eastAsia="方正仿宋_GBK" w:cs="方正仿宋_GBK"/>
                <w:kern w:val="0"/>
                <w:sz w:val="21"/>
                <w:szCs w:val="21"/>
              </w:rPr>
              <w:t>管理制度</w:t>
            </w:r>
            <w:r>
              <w:rPr>
                <w:rFonts w:hint="eastAsia" w:ascii="方正仿宋_GBK" w:hAnsi="方正仿宋_GBK" w:eastAsia="方正仿宋_GBK" w:cs="方正仿宋_GBK"/>
                <w:kern w:val="0"/>
                <w:sz w:val="21"/>
                <w:szCs w:val="21"/>
                <w:lang w:eastAsia="zh-CN"/>
              </w:rPr>
              <w:t>。</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第四十三条：生产经营单位进行爆破、吊装、动火、临时用电以及国务院应急管理部门会同国务院有关部门规定的其他危险作业，应当安排专门人员进行现场安全管理，确保操作规程的遵守和安全措施的落实。</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（三）进行爆破、吊装、动火、临时用电以及国务院应急管理部门会同国务院有关部门规定的其他危险作业，未安排专门人员进行现场安全管理的；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查阅企业管理制度，检查是否建立了危险化学品生产、使用、储存、装卸等场所特殊作业审批制度，安全作业票是否严格进行了审批与记录，危害辨识是否准确和全面。</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检查特殊作业现场是否设置了相应的安全警示标识，人员是否佩戴了有效的个人防护用品，作业时是否使用了符合规范要求的操作工具等。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lang w:val="en-US" w:eastAsia="zh-CN"/>
              </w:rPr>
              <w:t>企业向不具备危险化学品生产、经营资质的单位采购危险化学品，采购的危险化学品没有安全技术说明书和化学品安全标签。未对涉及危险化学品使用的从业人员开展危险化学品安全技术说明书和安全标签等内容的专项安全教育培训、配备相应劳动防护用品。</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危险化学品生产企业发现其生产的危险化学品有新的危险特性的，应当立即公告，并及时修订其化学品安全技术说明书和化学品安全标签。</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第七十八条：有下列情形之一的，由安全生产监督管理部门责令改正，可以处5万元以下的罚款；拒不改正的，处5万元以上10万元以下的罚款；情节严重的，责令停产停业整顿：</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（三）危险化学品生产企业未提供化学品安全技术说明书，或者未在包装（包括外包装件）上粘贴、拴挂化学品安全标签的；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（五）危险化学品生产企业发现其生产的危险化学品有新的危险特性不立即公告，或者不及时修订其化学品安全技术说明书和化学品安全标签的；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查阅企业危险化学品管理制度，是否对涉及的危险化学品的化学品安全技术说明书和化学品安全标签进行妥善存档，检查是否对涉及危险化学品使用的从业人员开展了专项安全教育培训。</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危险化学品包装（或外包装件）上是否粘贴、拴挂了化学品安全标签，化学品安全技术说明书、化学品安全标签所载明的内容是否符合国家标准要求，核查实际储存或使用的危险化学品是否与企业提供的化学品安全技术说明书相符。检查现场是否配备了相应的劳动防护用品。</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企业未按危险化学品储存相关标准，分区、分类、分库储存，超量、超范围、禁忌物质混放混存；储存和使用区域未按要求设置安全警示标识；储存和使用可燃、有毒危险化学品的场所（设施）未按要求设置监测报警系统，储存和使用易燃、易爆危险化学品的场所（设施）的电气、工具等不符合相关标准规范要求。</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危险化学品的储存方式、方法以及储存数量应当符合国家标准或者国家有关规定。</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二十条：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生产、储存危险化学品的单位，应当在其作业场所和安全设施、设备上设置明显的安全警示标志。</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第七十八条：有下列情形之一的，由安全生产监督管理部门责令改正，可以处5万元以下的罚款；拒不改正的，处5万元以上10万元以下的罚款；情节严重的，责令停产停业整顿：</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（八）生产、储存危险化学品的单位未在作业场所和安全设施、设备上设置明显的安全警示标志，或者未在作业场所设置通信、报警装置的；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（二）未根据其生产、储存的危险化学品的种类和危险特性，在作业场所设置相关安全设施、设备，或者未按照国家标准、行业标准或者国家有关规定对安全设施、设备进行经常性维护、保养的；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（四）未将危险化学品储存在专用仓库内，或者未将剧毒化学品以及储存数量构成重大危险源的其他危险化学品在专用仓库内单独存放的；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（五）危险化学品的储存方式、方法或者储存数量不符合国家标准或者国家有关规定的；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（七）未对危险化学品专用仓库的安全设施、设备定期进行检测、检验的。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查阅企业危险化学品安全管理台账，了解企业涉及危险化学品的种类、特性及数量等基本信息。</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检查危险化学品是否分区、分类、分库储存，是否超量、超范围存放，禁忌物质是否混放混存。</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储存和使用区域是否按照规范要求设置了安全警示标识。</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储存和使用可燃、有毒危险化学品的场所（设施）是否规范设置了气体泄漏探测报警装置。</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储存和使用易燃、易爆危险化学品的场所（设施）是否规范采用了防爆型电气设施、工具等。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rPr>
          <w:trHeight w:val="90"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危险化学品储存和使用场所与办公室、休息室、值班室、宿舍设置在同一连通空间；涉及甲乙类火灾危险性、粉尘爆炸危险性、中毒危险性的厂房（含装置或车间）和仓库内布置办公室、休息室、控制室、交接班室、外操室、巡检室等。</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四十二条生产、经营、储存、使用危险物品的车间、商店、仓库不得与员工宿舍在同一座建筑物内，并应当与员工宿舍保持安全距离。生产经营场所和员工宿舍应当设有符合紧急疏散要求、标志明显、保持畅通的出口、疏散通道。禁止占用、锁闭、封堵生产经营场所或者员工宿舍的出口、疏散通道。</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b/>
                <w:kern w:val="0"/>
                <w:sz w:val="21"/>
                <w:szCs w:val="21"/>
              </w:rPr>
              <w:t>《建筑设计防火规范（2018年版）》GB 50016</w:t>
            </w:r>
            <w:r>
              <w:rPr>
                <w:rFonts w:hint="eastAsia" w:ascii="方正仿宋_GBK" w:hAnsi="方正仿宋_GBK" w:eastAsia="方正仿宋_GBK" w:cs="方正仿宋_GBK"/>
                <w:kern w:val="0"/>
                <w:sz w:val="21"/>
                <w:szCs w:val="21"/>
              </w:rPr>
              <w:t>第3.3.5条：员工宿舍严禁设置在厂房内。办公室、休息室等不应设置在甲、乙类厂房内，确需贴邻本厂房时，其耐火等级不应低于二级，并应采用耐火极限不低于3.00h的防爆墙与厂房分隔，且应设置独立的安全出口。</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《建筑设计防火规范（2018年版）》GB 50016</w:t>
            </w:r>
            <w:r>
              <w:rPr>
                <w:rFonts w:hint="eastAsia" w:ascii="方正仿宋_GBK" w:hAnsi="方正仿宋_GBK" w:eastAsia="方正仿宋_GBK" w:cs="方正仿宋_GBK"/>
                <w:kern w:val="0"/>
                <w:sz w:val="21"/>
                <w:szCs w:val="21"/>
              </w:rPr>
              <w:t>第3.3.9条：员工宿舍严禁设置在仓库内。办公室、休息室等严禁设置在甲、乙类仓库内，也不应贴邻。办公室、休息室设置在丙、丁类仓库内时，应采用耐火极限不低于2.50h的防火隔墙和1.00h的楼板与其他部位分隔，并设置独立的安全出口。隔墙上需开设相互连通的门时，应采用乙级防火门。</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《粉尘防爆安全规程》GB15577</w:t>
            </w:r>
            <w:r>
              <w:rPr>
                <w:rFonts w:hint="eastAsia" w:ascii="方正仿宋_GBK" w:hAnsi="方正仿宋_GBK" w:eastAsia="方正仿宋_GBK" w:cs="方正仿宋_GBK"/>
                <w:kern w:val="0"/>
                <w:sz w:val="21"/>
                <w:szCs w:val="21"/>
              </w:rPr>
              <w:t>第5.6条：粉尘爆炸危险场所应严格控制区域内作业人员数量，不得设有休息室、会议室等人员密集场所，与其他厂房、员工宿舍不得小于GB50016规定的防火安全距离。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《工贸企业粉尘防爆安全规定》（中华人民共和国应急管理部令第6号）</w:t>
            </w:r>
            <w:r>
              <w:rPr>
                <w:rFonts w:hint="eastAsia" w:ascii="方正仿宋_GBK" w:hAnsi="方正仿宋_GBK" w:eastAsia="方正仿宋_GBK" w:cs="方正仿宋_GBK"/>
                <w:kern w:val="0"/>
                <w:sz w:val="21"/>
                <w:szCs w:val="21"/>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（五）危险化学品的储存方式、方法或者储存数量不符合国家标准或者国家有关规定的；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（六）危险化学品专用仓库不符合国家标准、行业标准的要求的；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《工贸企业粉尘防爆安全规定》（中华人民共和国应急管理部令第6号）</w:t>
            </w:r>
            <w:r>
              <w:rPr>
                <w:rFonts w:hint="eastAsia" w:ascii="方正仿宋_GBK" w:hAnsi="方正仿宋_GBK" w:eastAsia="方正仿宋_GBK" w:cs="方正仿宋_GBK"/>
                <w:kern w:val="0"/>
                <w:sz w:val="21"/>
                <w:szCs w:val="21"/>
              </w:rPr>
              <w:t>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查阅厂区总平面布置图，检查危险化学品的使用或储存场所的平面布置。</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危险化学品的使用或储存场所是否与办公室、休息室、值班室、宿舍设置在同一连通空间，涉及甲乙类火灾危险性、粉尘爆炸危险性、中毒危险性的厂房（含装置或车间）和仓库内是否布置了办公室、休息室、控制室、交接班室、外操室、巡检室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生产、储存、装卸易燃易爆危险物品的工厂、仓库未向消防设计审查验收主管部门申请消防设计审查验收。</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《建设工程消防设计审查验收管理暂行规定》（中华人民共和国住房和城乡建设部令第51号）</w:t>
            </w:r>
            <w:r>
              <w:rPr>
                <w:rFonts w:hint="eastAsia" w:ascii="方正仿宋_GBK" w:hAnsi="方正仿宋_GBK" w:eastAsia="方正仿宋_GBK" w:cs="方正仿宋_GBK"/>
                <w:kern w:val="0"/>
                <w:sz w:val="21"/>
                <w:szCs w:val="21"/>
              </w:rPr>
              <w:t>第十四条：具有下列情形之一的建设工程是特殊建设工程：（九）生产、储存、装卸易燃易爆危险物品的工厂、仓库和专用车站、码头，易燃易爆气体和液体的充装站、供应站、调压站。</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《建设工程消防设计审查验收管理暂行规定》（中华人民共和国住房和城乡建设部令第51号）</w:t>
            </w:r>
            <w:r>
              <w:rPr>
                <w:rFonts w:hint="eastAsia" w:ascii="方正仿宋_GBK" w:hAnsi="方正仿宋_GBK" w:eastAsia="方正仿宋_GBK" w:cs="方正仿宋_GBK"/>
                <w:kern w:val="0"/>
                <w:sz w:val="21"/>
                <w:szCs w:val="21"/>
              </w:rPr>
              <w:t>第十五条：对特殊建设工程实行消防设计审查制度。特殊建设工程的建设单位应当向消防设计审查验收主管部门申请消防设计审查，消防设计审查验收主管部门依法对审查的结果负责。特殊建设工程未经消防设计审查或者审查不合格的，建设单位、施工单位不得施工。</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（六）危险化学品专用仓库不符合国家标准、行业标准的要求的；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生产、储存、装卸易燃易爆危险物品的工厂、仓库是否有相关部门出具的消防验收意见书。</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rPr>
          <w:trHeight w:val="3919" w:hRule="atLeast"/>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危险废物未按种类和特性分区贮存，未采取防雨、防火、防雷、防扬尘、防晒、防渗漏等措施。</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三十九条：生产、经营、运输、储存、使用危险物品或者处置废弃危险物品的，由有关主管部门依照有关法律、法规的规定和国家标准或者行业标准审批并实施监督管理。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（一）生产、经营、运输、储存、使用危险物品或者处置废弃危险物品，未建立专门安全管理制度、未采取可靠的安全措施的；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查阅企业涉及危险废物种类、危险特性及数量等信息，了解企业危废基本情况。</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检查企业危废存放场所是否按种类和特性分区贮存，是否根据危废特性采取了防雨、防火、防雷、防扬尘、防晒、防渗漏等措施。</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企业未制定危险化学品专项应急预案或现场处置方案，未定期开展应急培训和演练，未适时进行修订完善。</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《危险化学品安全管理条例》</w:t>
            </w:r>
            <w:r>
              <w:rPr>
                <w:rFonts w:hint="eastAsia" w:ascii="方正仿宋_GBK" w:hAnsi="方正仿宋_GBK" w:eastAsia="方正仿宋_GBK" w:cs="方正仿宋_GBK"/>
                <w:kern w:val="0"/>
                <w:sz w:val="21"/>
                <w:szCs w:val="21"/>
              </w:rPr>
              <w:t>第七十条：危险化学品单位应当制定本单位危险化学品事故应急预案，配备应急救援人员和必要的应急救援器材、设备，并定期组织应急救援演练。</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《生产安全事故应急预案管理办法》（2016年6月3日国家安全生产监督管理总局令第88号公布，根据2019年7月11日应急管理部令第2号修正）</w:t>
            </w:r>
            <w:r>
              <w:rPr>
                <w:rFonts w:hint="eastAsia" w:ascii="方正仿宋_GBK" w:hAnsi="方正仿宋_GBK" w:eastAsia="方正仿宋_GBK" w:cs="方正仿宋_GBK"/>
                <w:kern w:val="0"/>
                <w:sz w:val="21"/>
                <w:szCs w:val="21"/>
              </w:rPr>
              <w:t>第十五条：对于危险性较大的场所、装置或者设施，生产经营单位应当编制现场处置方案。</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现场处置方案应当规定应急工作职责、应急处置措施和注意事项等内容。</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事故风险单一、危险性小的生产经营单位，可以只编制现场处置方案。</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《生产安全事故应急预案管理办法》（2016年6月3日国家安全生产监督管理总局令第88号公布，根据2019年7月11日应急管理部令第2号修正）</w:t>
            </w:r>
            <w:r>
              <w:rPr>
                <w:rFonts w:hint="eastAsia" w:ascii="方正仿宋_GBK" w:hAnsi="方正仿宋_GBK" w:eastAsia="方正仿宋_GBK" w:cs="方正仿宋_GBK"/>
                <w:kern w:val="0"/>
                <w:sz w:val="21"/>
                <w:szCs w:val="21"/>
              </w:rPr>
              <w:t>第三十三条：生产经营单位应当制定本单位的应急预案演练计划，根据本单位的事故风险特点，每年至少组织一次综合应急预案演练或者专项应急预案演练，每半年至少组织一次现场处置方案演练。</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查阅企业是否制定了危险化学品专项应急预案及现场处置方案，是否定期开展了应急培训和演练，应急预案是否适时进行了修订和完善。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检查危险化学品现场处置方案是否上墙公示。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涉及重点监管危险化工工艺的装置按照相关要求设置相应的安全控制系统，并最大限度控制现场作业人员数量。</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原安监总管三〔2009〕116号附件2</w:t>
            </w:r>
            <w:r>
              <w:rPr>
                <w:rFonts w:hint="eastAsia" w:ascii="方正仿宋_GBK" w:hAnsi="方正仿宋_GBK" w:eastAsia="方正仿宋_GBK" w:cs="方正仿宋_GBK"/>
                <w:kern w:val="0"/>
                <w:sz w:val="21"/>
                <w:szCs w:val="21"/>
              </w:rPr>
              <w:t>：首批重点监管的危险化工工艺安全控制要求、重点监控参数及推荐的控制方案。</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原安监总管三〔2013〕3号附件2</w:t>
            </w:r>
            <w:r>
              <w:rPr>
                <w:rFonts w:hint="eastAsia" w:ascii="方正仿宋_GBK" w:hAnsi="方正仿宋_GBK" w:eastAsia="方正仿宋_GBK" w:cs="方正仿宋_GBK"/>
                <w:kern w:val="0"/>
                <w:sz w:val="21"/>
                <w:szCs w:val="21"/>
              </w:rPr>
              <w:t>：第二批重点监管危险化工工艺重点监控参数、安全控制基本要求及推荐的控制方案。</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中控室查阅企业涉及重点监管危险化工工艺的装置控制系统的设置，是否满足安监总管三〔2009〕116号附件2和安监总管三〔2013〕3号附件2的相关要求。</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控制连锁系统是否运行正常，安全设施设置是否规范、齐全。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企业未按照相关要求对重大危险源进行辨识、分级、安全评估、建档、变更和备案。</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四十条：生产经营单位对重大危险源应当登记建档，进行定期检测、评估、监控，并制定应急预案，告知从业人员和相关人员在紧急情况下应当采取的应急措施。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bCs/>
                <w:kern w:val="0"/>
                <w:sz w:val="21"/>
                <w:szCs w:val="21"/>
              </w:rPr>
              <w:t>第七条：</w:t>
            </w:r>
            <w:r>
              <w:rPr>
                <w:rFonts w:hint="eastAsia" w:ascii="方正仿宋_GBK" w:hAnsi="方正仿宋_GBK" w:eastAsia="方正仿宋_GBK" w:cs="方正仿宋_GBK"/>
                <w:kern w:val="0"/>
                <w:sz w:val="21"/>
                <w:szCs w:val="21"/>
              </w:rPr>
              <w:t>危险化学品单位应当按照《危险化学品重大危险源辨识》标准，对本单位的危险化学品生产、经营、储存和使用装置、设施或者场所进行重大危险源辨识，并记录辨识过程与结果。</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bCs/>
                <w:kern w:val="0"/>
                <w:sz w:val="21"/>
                <w:szCs w:val="21"/>
              </w:rPr>
              <w:t>第二十二条：</w:t>
            </w:r>
            <w:r>
              <w:rPr>
                <w:rFonts w:hint="eastAsia" w:ascii="方正仿宋_GBK" w:hAnsi="方正仿宋_GBK" w:eastAsia="方正仿宋_GBK" w:cs="方正仿宋_GBK"/>
                <w:kern w:val="0"/>
                <w:sz w:val="21"/>
                <w:szCs w:val="21"/>
              </w:rPr>
              <w:t>危险化学品单位应当对辨识确认的重大危险源及时、逐项进行登记建档。</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bCs/>
                <w:kern w:val="0"/>
                <w:sz w:val="21"/>
                <w:szCs w:val="21"/>
              </w:rPr>
              <w:t>第二十三条：</w:t>
            </w:r>
            <w:r>
              <w:rPr>
                <w:rFonts w:hint="eastAsia" w:ascii="方正仿宋_GBK" w:hAnsi="方正仿宋_GBK" w:eastAsia="方正仿宋_GBK" w:cs="方正仿宋_GBK"/>
                <w:kern w:val="0"/>
                <w:sz w:val="21"/>
                <w:szCs w:val="21"/>
              </w:rPr>
              <w:t>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bCs/>
                <w:kern w:val="0"/>
                <w:sz w:val="21"/>
                <w:szCs w:val="21"/>
              </w:rPr>
              <w:t>第三十二条：</w:t>
            </w:r>
            <w:r>
              <w:rPr>
                <w:rFonts w:hint="eastAsia" w:ascii="方正仿宋_GBK" w:hAnsi="方正仿宋_GBK" w:eastAsia="方正仿宋_GBK" w:cs="方正仿宋_GBK"/>
                <w:kern w:val="0"/>
                <w:sz w:val="21"/>
                <w:szCs w:val="21"/>
              </w:rPr>
              <w:t>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（一）未按照本规定要求对重大危险源进行安全评估或者安全评价的；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（二）未按照本规定要求对重大危险源进行登记建档的；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查阅企业重大危险源是否进行了登记、备案及建档。</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重大危险源档案应当包括下列文件、资料：</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（一）辨识、分级记录；</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（二）重大危险源基本特征表；</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（三）涉及的所有化学品安全技术说明书；</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（四）区域位置图、平面布置图、工艺流程图和主要设备一览表；</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（五）重大危险源安全管理规章制度及安全操作规程；</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（六）安全监测监控系统、措施说明、检测、检验结果；</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（七）重大危险源事故应急预案、评审意见、演练计划和评估报告；</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（八）安全评估报告或者安全评价报告；</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（九）重大危险源关键装置、重点部位的责任人、责任机构名称；</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（十）重大危险源场所安全警示标志的设置情况；</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kern w:val="0"/>
                <w:sz w:val="21"/>
                <w:szCs w:val="21"/>
              </w:rPr>
              <w:t>（十一）其他文件、资料。</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涉及可燃、有毒气体的重大危险源设施、装置未按要求设置泄漏检测报警装置、紧急切断装置、自动化控制系统等监测监控系统。</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第十三条：危险化学品单位应当根据构成重大危险源的危险化学品种类、数量、生产、使用工艺（方式）或者相关设备、设施等实际情况，按照下列要求建立健全安全监测监控体系，完善控制措施：</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30天；</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（二）重大危险源的化工生产装置装备满足安全生产要求的自动化控制系统；一级或者二级重大危险源，装备紧急停车系统；</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三）对重大危险源中的毒性气体、剧毒液体和易燃气体等重点设施，设置紧急切断装置；毒性气体的设施，设置泄漏物紧急处置装置。涉及毒性气体、液化气体、剧毒液体的一级或者二级重大危险源，配备独立的安全仪表系统（SIS）；</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（四）重大危险源中储存剧毒物质的场所或者设施，设置视频监控系统；</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（五）安全监测监控系统符合国家标准或者行业标准的规定。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三十二条：危险化学品单位有下列行为之一的，由县级以上人民政府安全生产监督管理部门责令限期改正，可以处10万元以下的罚款；逾期未改正的，责令停产停业整顿，并处10万元以上20万元以下的罚款，对其直接负责的主管人员和其他直接责任人员处2万元以上5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（三）未按照本规定及相关标准要求对重大危险源进行安全监测监控的；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重大危险源控制系统的设置，是否按规范要求设置了相应的气体泄漏检测报警装置、紧急切断装置、自动化控制系统等监测监控系统。涉及毒性气体、液化气体、剧毒液体的一级或者二级重大危险源，配备独立的安全仪表系统（SIS）。</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检查现场是否规范设置了气体泄漏检测报警装置、紧急切断装置、自动化控制系统、独立的安全仪表系统等。</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13</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大危险源所在场所未设置显著的安全警示牌和危险物质安全告知牌，未明确危险特性及数量、紧急情况下的应急处置措施，未明确重大危险源主要负责人、技术负责人、操作负责人姓名、对应的安全包保职责及联系方式，未对管理和操作岗位人员进行安全操作技能培训，未将危害后果及应急措施等信息告知可能受影响的单位、区域和人员。</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第十六条：危险化学品单位应当明确重大危险源中关键装置、重点部位的责任人或者责任机构，并对重大危险源的安全生产状况进行定期检查，及时采取措施消除事故隐患。</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十七条：危险化学品单位应当对重大危险源的管理和操作岗位人员进行安全操作技能培训，使其了解重大危险源的危险特性，熟悉重大危险源安全管理规章制度和安全操作规程，掌握本岗位的安全操作技能和应急措施。</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第十八条：危险化学品单位应当在重大危险源所在场所设置明显的安全警示标志，写明紧急情况下的应急处置办法。</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第十九条：危险化学品单位应当将重大危险源可能发生的事故后果和应急措施等信息，以适当方式告知可能受影响的单位、区域及人员。</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《危化品企业重大危险源安全包保责任制办法（试行）》（应急厅〔2021〕12号）</w:t>
            </w:r>
            <w:r>
              <w:rPr>
                <w:rFonts w:hint="eastAsia" w:ascii="方正仿宋_GBK" w:hAnsi="方正仿宋_GBK" w:eastAsia="方正仿宋_GBK" w:cs="方正仿宋_GBK"/>
                <w:kern w:val="0"/>
                <w:sz w:val="21"/>
                <w:szCs w:val="21"/>
              </w:rPr>
              <w:t>第七条：危险化学品企业应当在重大危险源安全警示标志位置设立公示牌，写明重大危险源的主要负责人、技术负责人、操作负责人姓名、对应的安全包保职责及联系方式，接受员工监督。重大危险源安全包保责任人、联系方式应当录入全国危险化学品登记信息管理系统，并向所在地应急管理部门报备，相关信息变更的，应当于变更后5日内在全国危险化学品登记信息管理系统中更新。</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《危险化学品重大危险源监督管理暂行规定》第三十三条：</w:t>
            </w:r>
            <w:r>
              <w:rPr>
                <w:rFonts w:hint="eastAsia" w:ascii="方正仿宋_GBK" w:hAnsi="方正仿宋_GBK" w:eastAsia="方正仿宋_GBK" w:cs="方正仿宋_GBK"/>
                <w:kern w:val="0"/>
                <w:sz w:val="21"/>
                <w:szCs w:val="21"/>
              </w:rPr>
              <w:t>危险化学品单位有下列行为之一的，由县级以上人民政府安全生产监督管理部门责令限期改正，可以处５万元以下的罚款；逾期未改正的，处５万元以上20万元以下的罚款，对其直接负责的主管人员和其他直接责任人员处１万元以上２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（一）未在构成重大危险源的场所设置明显的安全警示标志的；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第三十四条：危险化学品单位有下列情形之一的，由县级以上人民政府安全生产监督管理部门给予警告，可以并处5000元以上3万元以下的罚款：</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（二）未按照本规定明确重大危险源中关键装置、重点部位的责任人或者责任机构的；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（五）未将重大危险源可能引发的事故后果、应急措施等信息告知可能受影响的单位、区域及人员的；</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查阅企业安全管理制度是否明确了重大危险源主要负责人、技术负责人、操作负责人姓名、对应的安全包保职责及联系方式。</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是否有管理和操作岗位人员安全操作技能相关培训记录。</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是否将危害后果及应急措施等告知可能受影响的单位、区域和人员。</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检查重大危险源所在场所是否设置了明显的安全警示标志，写明了紧急情况下的应急处置办法。</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检查重大危险源所在场所是否设立了公示牌，是否写明了重大危险源的主要负责人、技术负责人、操作负责人姓名、对应的安全包保职责及联系方式。</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企业未制定重大危险源应急预案，未明确应急处置人员，未按要求配齐便携式可燃有毒气体浓度检测设备、空气呼吸器、化学防护服、堵漏器材等应急装备，未按规定定期进行应急演练和总结评估。</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tc>
        <w:tc>
          <w:tcPr>
            <w:tcW w:w="3686"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《危险化学品重大危险源监督管理暂行规定》</w:t>
            </w:r>
            <w:r>
              <w:rPr>
                <w:rFonts w:hint="eastAsia" w:ascii="方正仿宋_GBK" w:hAnsi="方正仿宋_GBK" w:eastAsia="方正仿宋_GBK" w:cs="方正仿宋_GBK"/>
                <w:kern w:val="0"/>
                <w:sz w:val="21"/>
                <w:szCs w:val="21"/>
              </w:rPr>
              <w:t>第三十四条：危险化学品单位有下列情形之一的，由县级以上人民政府安全生产监督管理部门给予警告，可以并处5000元以上3万元以下的罚款：</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（三）未按照本规定建立应急救援组织或者配备应急救援人员，以及配备必要的防护装备及器材、设备、物资，并保障其完好的；</w:t>
            </w:r>
            <w:r>
              <w:rPr>
                <w:rFonts w:hint="eastAsia" w:ascii="方正仿宋_GBK" w:hAnsi="方正仿宋_GBK" w:eastAsia="方正仿宋_GBK" w:cs="方正仿宋_GBK"/>
                <w:kern w:val="0"/>
                <w:sz w:val="21"/>
                <w:szCs w:val="21"/>
              </w:rPr>
              <w:br w:type="textWrapping"/>
            </w:r>
            <w:r>
              <w:rPr>
                <w:rFonts w:hint="eastAsia" w:ascii="方正仿宋_GBK" w:hAnsi="方正仿宋_GBK" w:eastAsia="方正仿宋_GBK" w:cs="方正仿宋_GBK"/>
                <w:kern w:val="0"/>
                <w:sz w:val="21"/>
                <w:szCs w:val="21"/>
              </w:rPr>
              <w:t>（六）未按照本规定要求开展重大危险源事故应急预案演练的。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《生产安全事故应急预案管理办法》（2016年6月3日国家安全生产监督管理总局令第88号公布，根据2019年7月11日应急管理部令第2号修正）</w:t>
            </w:r>
            <w:r>
              <w:rPr>
                <w:rFonts w:hint="eastAsia" w:ascii="方正仿宋_GBK" w:hAnsi="方正仿宋_GBK" w:eastAsia="方正仿宋_GBK" w:cs="方正仿宋_GBK"/>
                <w:kern w:val="0"/>
                <w:sz w:val="21"/>
                <w:szCs w:val="21"/>
              </w:rPr>
              <w:t>第四十五条：生产经营单位有下列情形之一的，由县级以上人民政府应急管理部门责令限期改正，可以处1万元以上3万元以下的罚款：</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（一）在应急预案编制前未按照规定开展风险辨识、评估和应急资源调查的；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（二）未按照规定开展应急预案评审的；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（三）事故风险可能影响周边单位、人员的，未将事故风险的性质、影响范围和应急防范措施告知周边单位和人员的；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（四）未按照规定开展应急预案评估的；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（五）未按照规定进行应急预案修订的；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（六）未落实应急预案规定的应急物资及装备的。</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查阅资料：</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重大危险源安全管理制度是否对应急处置人员进行了明确。</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是否制定了重大危险源事故应急预案，是否建立了应急救援组织或者配备应急救援人员，是否配备了防护装备及应急救援器材、设备、物资清单。</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是否定期进行了应急演练和总结评估。</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现场检查：</w:t>
            </w:r>
            <w:r>
              <w:rPr>
                <w:rFonts w:hint="eastAsia" w:ascii="方正仿宋_GBK" w:hAnsi="方正仿宋_GBK" w:eastAsia="方正仿宋_GBK" w:cs="方正仿宋_GBK"/>
                <w:kern w:val="0"/>
                <w:sz w:val="21"/>
                <w:szCs w:val="21"/>
              </w:rPr>
              <w:t>检查防护装备及应急救援器材、设备、物资是否齐备、完好，检查企业员工是否能熟练、准确使用。</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r>
        <w:tblPrEx>
          <w:tblLayout w:type="fixed"/>
          <w:tblCellMar>
            <w:top w:w="0" w:type="dxa"/>
            <w:left w:w="0" w:type="dxa"/>
            <w:bottom w:w="0" w:type="dxa"/>
            <w:right w:w="0" w:type="dxa"/>
          </w:tblCellMar>
        </w:tblPrEx>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w:t>
            </w:r>
          </w:p>
        </w:tc>
        <w:tc>
          <w:tcPr>
            <w:tcW w:w="1954"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未按要求将重大危险源相关数据接入全国危险化学品安全生产风险监测预警系统。</w:t>
            </w:r>
          </w:p>
        </w:tc>
        <w:tc>
          <w:tcPr>
            <w:tcW w:w="3829"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《危化品企业重大危险源安全包保责任制办法（试行）》（应急厅〔2021〕12号）</w:t>
            </w:r>
            <w:r>
              <w:rPr>
                <w:rFonts w:hint="eastAsia" w:ascii="方正仿宋_GBK" w:hAnsi="方正仿宋_GBK" w:eastAsia="方正仿宋_GBK" w:cs="方正仿宋_GBK"/>
                <w:kern w:val="0"/>
                <w:sz w:val="21"/>
                <w:szCs w:val="21"/>
              </w:rPr>
              <w:t>第四条：重大危险源的主要负责人，对所包保的重大危险源负有下列安全职责：（七）组织通过危险化学品登记信息管理系统填报重大危险源有关信息，保证重大危险源安全监测监控有关数据接入危险化学品安全生产风险监测预警系统。</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《中华人民共和国安全生产法》</w:t>
            </w:r>
            <w:r>
              <w:rPr>
                <w:rFonts w:hint="eastAsia" w:ascii="方正仿宋_GBK" w:hAnsi="方正仿宋_GBK" w:eastAsia="方正仿宋_GBK" w:cs="方正仿宋_GBK"/>
                <w:kern w:val="0"/>
                <w:sz w:val="21"/>
                <w:szCs w:val="21"/>
              </w:rPr>
              <w:t xml:space="preserve">第四十条： </w:t>
            </w:r>
          </w:p>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tc>
        <w:tc>
          <w:tcPr>
            <w:tcW w:w="3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检查项</w:t>
            </w:r>
          </w:p>
        </w:tc>
        <w:tc>
          <w:tcPr>
            <w:tcW w:w="2698" w:type="dxa"/>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b/>
                <w:kern w:val="0"/>
                <w:sz w:val="21"/>
                <w:szCs w:val="21"/>
              </w:rPr>
              <w:t>查阅资料：</w:t>
            </w:r>
            <w:r>
              <w:rPr>
                <w:rFonts w:hint="eastAsia" w:ascii="方正仿宋_GBK" w:hAnsi="方正仿宋_GBK" w:eastAsia="方正仿宋_GBK" w:cs="方正仿宋_GBK"/>
                <w:kern w:val="0"/>
                <w:sz w:val="21"/>
                <w:szCs w:val="21"/>
              </w:rPr>
              <w:t>查阅重大危险源相关数据是否接入了全国危险化学品安全生产风险监测预警系统。</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70" w:lineRule="exact"/>
              <w:ind w:left="0" w:leftChars="0" w:right="0" w:rightChars="0" w:firstLine="0" w:firstLineChars="0"/>
              <w:jc w:val="center"/>
              <w:textAlignment w:val="auto"/>
              <w:outlineLvl w:val="9"/>
              <w:rPr>
                <w:rFonts w:hint="eastAsia" w:ascii="方正仿宋_GBK" w:hAnsi="方正仿宋_GBK" w:eastAsia="方正仿宋_GBK" w:cs="方正仿宋_GBK"/>
                <w:kern w:val="0"/>
                <w:sz w:val="21"/>
                <w:szCs w:val="21"/>
              </w:rPr>
            </w:pPr>
          </w:p>
        </w:tc>
      </w:tr>
    </w:tbl>
    <w:p>
      <w:pPr>
        <w:adjustRightInd w:val="0"/>
        <w:snapToGrid w:val="0"/>
        <w:rPr>
          <w:rFonts w:ascii="Arial" w:hAnsi="Arial" w:eastAsia="微软雅黑" w:cs="Arial"/>
          <w:sz w:val="32"/>
          <w:szCs w:val="32"/>
        </w:rPr>
      </w:pPr>
    </w:p>
    <w:sectPr>
      <w:footerReference r:id="rId3" w:type="default"/>
      <w:pgSz w:w="16840" w:h="11907"/>
      <w:pgMar w:top="1134" w:right="1134" w:bottom="1134" w:left="1134" w:header="851" w:footer="992" w:gutter="0"/>
      <w:pgNumType w:fmt="numberInDash"/>
      <w:cols w:space="0" w:num="1"/>
      <w:docGrid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Arial Rounded MT Bold">
    <w:altName w:val="Arial"/>
    <w:panose1 w:val="020F0704030504030204"/>
    <w:charset w:val="00"/>
    <w:family w:val="auto"/>
    <w:pitch w:val="default"/>
    <w:sig w:usb0="00000000" w:usb1="00000000" w:usb2="00000000" w:usb3="00000000" w:csb0="20000001"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ingLiU_HKSCS">
    <w:panose1 w:val="02020500000000000000"/>
    <w:charset w:val="88"/>
    <w:family w:val="roman"/>
    <w:pitch w:val="default"/>
    <w:sig w:usb0="A00002FF" w:usb1="3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Lucida Sans Unicode">
    <w:panose1 w:val="020B0602030504020204"/>
    <w:charset w:val="00"/>
    <w:family w:val="swiss"/>
    <w:pitch w:val="default"/>
    <w:sig w:usb0="80001AFF" w:usb1="0000396B" w:usb2="00000000" w:usb3="00000000" w:csb0="200000BF" w:csb1="D7F70000"/>
  </w:font>
  <w:font w:name="AngsanaUPC">
    <w:panose1 w:val="02020603050405020304"/>
    <w:charset w:val="00"/>
    <w:family w:val="roman"/>
    <w:pitch w:val="default"/>
    <w:sig w:usb0="81000003" w:usb1="00000000" w:usb2="00000000" w:usb3="00000000" w:csb0="00010001" w:csb1="00000000"/>
  </w:font>
  <w:font w:name="Century Gothic">
    <w:altName w:val="NumberOnly"/>
    <w:panose1 w:val="020B0502020202020204"/>
    <w:charset w:val="00"/>
    <w:family w:val="swiss"/>
    <w:pitch w:val="default"/>
    <w:sig w:usb0="00000000" w:usb1="00000000" w:usb2="00000000" w:usb3="00000000" w:csb0="0000009F" w:csb1="00000000"/>
  </w:font>
  <w:font w:name="Constantia">
    <w:panose1 w:val="02030602050306030303"/>
    <w:charset w:val="00"/>
    <w:family w:val="roman"/>
    <w:pitch w:val="default"/>
    <w:sig w:usb0="A00002EF" w:usb1="4000204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adjustRightInd w:val="0"/>
      <w:jc w:val="center"/>
      <w:rPr>
        <w:rFonts w:ascii="Arial" w:hAnsi="Arial" w:eastAsia="宋体" w:cs="Arial"/>
        <w:sz w:val="21"/>
        <w:szCs w:val="21"/>
      </w:rPr>
    </w:pPr>
    <w:r>
      <w:rPr>
        <w:rFonts w:ascii="Arial" w:hAnsi="Arial" w:eastAsia="宋体" w:cs="Arial"/>
        <w:sz w:val="21"/>
        <w:szCs w:val="21"/>
      </w:rPr>
      <w:fldChar w:fldCharType="begin"/>
    </w:r>
    <w:r>
      <w:rPr>
        <w:rFonts w:ascii="Arial" w:hAnsi="Arial" w:eastAsia="宋体" w:cs="Arial"/>
        <w:sz w:val="21"/>
        <w:szCs w:val="21"/>
      </w:rPr>
      <w:instrText xml:space="preserve"> PAGE   \* MERGEFORMAT </w:instrText>
    </w:r>
    <w:r>
      <w:rPr>
        <w:rFonts w:ascii="Arial" w:hAnsi="Arial" w:eastAsia="宋体" w:cs="Arial"/>
        <w:sz w:val="21"/>
        <w:szCs w:val="21"/>
      </w:rPr>
      <w:fldChar w:fldCharType="separate"/>
    </w:r>
    <w:r>
      <w:rPr>
        <w:rFonts w:ascii="Arial" w:hAnsi="Arial" w:eastAsia="宋体" w:cs="Arial"/>
        <w:sz w:val="21"/>
        <w:szCs w:val="21"/>
        <w:lang w:val="zh-CN"/>
      </w:rPr>
      <w:t>-</w:t>
    </w:r>
    <w:r>
      <w:rPr>
        <w:rFonts w:ascii="Arial" w:hAnsi="Arial" w:eastAsia="宋体" w:cs="Arial"/>
        <w:sz w:val="21"/>
        <w:szCs w:val="21"/>
      </w:rPr>
      <w:t xml:space="preserve"> 10 -</w:t>
    </w:r>
    <w:r>
      <w:rPr>
        <w:rFonts w:ascii="Arial" w:hAnsi="Arial" w:eastAsia="宋体" w:cs="Arial"/>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B"/>
    <w:rsid w:val="000221F8"/>
    <w:rsid w:val="000325BB"/>
    <w:rsid w:val="00045071"/>
    <w:rsid w:val="0004575E"/>
    <w:rsid w:val="00055862"/>
    <w:rsid w:val="00092C0A"/>
    <w:rsid w:val="00095D19"/>
    <w:rsid w:val="000D168D"/>
    <w:rsid w:val="000E0B12"/>
    <w:rsid w:val="00126EB9"/>
    <w:rsid w:val="00165F2C"/>
    <w:rsid w:val="001B1137"/>
    <w:rsid w:val="001C00A0"/>
    <w:rsid w:val="001C7FA7"/>
    <w:rsid w:val="00206AF3"/>
    <w:rsid w:val="00206D28"/>
    <w:rsid w:val="002220DE"/>
    <w:rsid w:val="0024032D"/>
    <w:rsid w:val="00280D9B"/>
    <w:rsid w:val="002815CB"/>
    <w:rsid w:val="002970B8"/>
    <w:rsid w:val="002A221A"/>
    <w:rsid w:val="002C26F3"/>
    <w:rsid w:val="002D5797"/>
    <w:rsid w:val="002E73F1"/>
    <w:rsid w:val="003044B0"/>
    <w:rsid w:val="00305F33"/>
    <w:rsid w:val="00307EDB"/>
    <w:rsid w:val="00332072"/>
    <w:rsid w:val="00343CFA"/>
    <w:rsid w:val="00347A59"/>
    <w:rsid w:val="00367AAB"/>
    <w:rsid w:val="003960E3"/>
    <w:rsid w:val="003B6686"/>
    <w:rsid w:val="003C1856"/>
    <w:rsid w:val="003C74F3"/>
    <w:rsid w:val="003D0C97"/>
    <w:rsid w:val="003D5CE7"/>
    <w:rsid w:val="003E749F"/>
    <w:rsid w:val="003F3BB4"/>
    <w:rsid w:val="00402149"/>
    <w:rsid w:val="00407D3E"/>
    <w:rsid w:val="00425BAB"/>
    <w:rsid w:val="0047129C"/>
    <w:rsid w:val="00482AAA"/>
    <w:rsid w:val="00492B51"/>
    <w:rsid w:val="004A25D2"/>
    <w:rsid w:val="004F7DD6"/>
    <w:rsid w:val="0053592F"/>
    <w:rsid w:val="00570C51"/>
    <w:rsid w:val="00575316"/>
    <w:rsid w:val="00584048"/>
    <w:rsid w:val="005848F9"/>
    <w:rsid w:val="00587EE3"/>
    <w:rsid w:val="00597F33"/>
    <w:rsid w:val="005B17E1"/>
    <w:rsid w:val="005B260B"/>
    <w:rsid w:val="005B4121"/>
    <w:rsid w:val="00601977"/>
    <w:rsid w:val="00616F43"/>
    <w:rsid w:val="0062430A"/>
    <w:rsid w:val="00634617"/>
    <w:rsid w:val="0066210E"/>
    <w:rsid w:val="006629C2"/>
    <w:rsid w:val="006640DC"/>
    <w:rsid w:val="0067630A"/>
    <w:rsid w:val="00693C77"/>
    <w:rsid w:val="006A2204"/>
    <w:rsid w:val="006B2D58"/>
    <w:rsid w:val="006B3060"/>
    <w:rsid w:val="006C1585"/>
    <w:rsid w:val="006E146F"/>
    <w:rsid w:val="006E3268"/>
    <w:rsid w:val="00721609"/>
    <w:rsid w:val="00732B20"/>
    <w:rsid w:val="0079103A"/>
    <w:rsid w:val="007929AA"/>
    <w:rsid w:val="007A0E65"/>
    <w:rsid w:val="007A4A8E"/>
    <w:rsid w:val="007B348D"/>
    <w:rsid w:val="007C35B5"/>
    <w:rsid w:val="007C68B5"/>
    <w:rsid w:val="007E2CF6"/>
    <w:rsid w:val="00812010"/>
    <w:rsid w:val="008227AD"/>
    <w:rsid w:val="00834AC2"/>
    <w:rsid w:val="00846319"/>
    <w:rsid w:val="008521B1"/>
    <w:rsid w:val="00883573"/>
    <w:rsid w:val="00897D85"/>
    <w:rsid w:val="008A1375"/>
    <w:rsid w:val="008B0280"/>
    <w:rsid w:val="008C6449"/>
    <w:rsid w:val="00900BF1"/>
    <w:rsid w:val="00922680"/>
    <w:rsid w:val="00932863"/>
    <w:rsid w:val="00946233"/>
    <w:rsid w:val="00946AD6"/>
    <w:rsid w:val="00961E84"/>
    <w:rsid w:val="00983E6A"/>
    <w:rsid w:val="009B45A9"/>
    <w:rsid w:val="009E2520"/>
    <w:rsid w:val="009E7878"/>
    <w:rsid w:val="009F174D"/>
    <w:rsid w:val="00A16FDF"/>
    <w:rsid w:val="00A2074D"/>
    <w:rsid w:val="00A21592"/>
    <w:rsid w:val="00A4725E"/>
    <w:rsid w:val="00A6587C"/>
    <w:rsid w:val="00A75142"/>
    <w:rsid w:val="00A901E1"/>
    <w:rsid w:val="00B35819"/>
    <w:rsid w:val="00B43A5E"/>
    <w:rsid w:val="00B74C7A"/>
    <w:rsid w:val="00B81F18"/>
    <w:rsid w:val="00B82DC6"/>
    <w:rsid w:val="00B85B71"/>
    <w:rsid w:val="00BB028A"/>
    <w:rsid w:val="00BC24F1"/>
    <w:rsid w:val="00BC608E"/>
    <w:rsid w:val="00BC7455"/>
    <w:rsid w:val="00BD47E7"/>
    <w:rsid w:val="00BE1E15"/>
    <w:rsid w:val="00C000AF"/>
    <w:rsid w:val="00C15E1D"/>
    <w:rsid w:val="00C651A6"/>
    <w:rsid w:val="00C82939"/>
    <w:rsid w:val="00CF4E9A"/>
    <w:rsid w:val="00D04A40"/>
    <w:rsid w:val="00D0669B"/>
    <w:rsid w:val="00D24704"/>
    <w:rsid w:val="00D700CA"/>
    <w:rsid w:val="00DB0A71"/>
    <w:rsid w:val="00DC3390"/>
    <w:rsid w:val="00DD3B9F"/>
    <w:rsid w:val="00DF4A51"/>
    <w:rsid w:val="00E01ACB"/>
    <w:rsid w:val="00E053E0"/>
    <w:rsid w:val="00E56654"/>
    <w:rsid w:val="00E64BAC"/>
    <w:rsid w:val="00E74BD7"/>
    <w:rsid w:val="00E92F56"/>
    <w:rsid w:val="00E93B10"/>
    <w:rsid w:val="00EB10D1"/>
    <w:rsid w:val="00EB24A6"/>
    <w:rsid w:val="00EB42BB"/>
    <w:rsid w:val="00EC19A4"/>
    <w:rsid w:val="00EF2E25"/>
    <w:rsid w:val="00EF708A"/>
    <w:rsid w:val="00F03509"/>
    <w:rsid w:val="00F05084"/>
    <w:rsid w:val="00F07670"/>
    <w:rsid w:val="00F341BD"/>
    <w:rsid w:val="00F35B42"/>
    <w:rsid w:val="00F37369"/>
    <w:rsid w:val="00F56EF1"/>
    <w:rsid w:val="00FA7351"/>
    <w:rsid w:val="00FB3223"/>
    <w:rsid w:val="00FC0BD0"/>
    <w:rsid w:val="00FC5F49"/>
    <w:rsid w:val="00FD69D3"/>
    <w:rsid w:val="00FF73BD"/>
    <w:rsid w:val="0CDC4CE2"/>
    <w:rsid w:val="10CE4B76"/>
    <w:rsid w:val="12BD65A0"/>
    <w:rsid w:val="14CB0819"/>
    <w:rsid w:val="27CE54A9"/>
    <w:rsid w:val="299A02DE"/>
    <w:rsid w:val="2DCB4091"/>
    <w:rsid w:val="3BF2438F"/>
    <w:rsid w:val="46560DC3"/>
    <w:rsid w:val="5D321BEA"/>
    <w:rsid w:val="5DDF6200"/>
    <w:rsid w:val="73A7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unhideWhenUsed/>
    <w:qFormat/>
    <w:uiPriority w:val="99"/>
    <w:rPr>
      <w:b/>
      <w:bCs/>
      <w:szCs w:val="22"/>
    </w:rPr>
  </w:style>
  <w:style w:type="paragraph" w:styleId="3">
    <w:name w:val="annotation text"/>
    <w:basedOn w:val="1"/>
    <w:link w:val="13"/>
    <w:qFormat/>
    <w:uiPriority w:val="0"/>
    <w:pPr>
      <w:jc w:val="left"/>
    </w:pPr>
    <w:rPr>
      <w:szCs w:val="24"/>
    </w:rPr>
  </w:style>
  <w:style w:type="paragraph" w:styleId="4">
    <w:name w:val="Document Map"/>
    <w:basedOn w:val="1"/>
    <w:link w:val="15"/>
    <w:unhideWhenUsed/>
    <w:qFormat/>
    <w:uiPriority w:val="99"/>
    <w:rPr>
      <w:rFonts w:ascii="宋体" w:eastAsia="宋体"/>
      <w:sz w:val="18"/>
      <w:szCs w:val="18"/>
    </w:rPr>
  </w:style>
  <w:style w:type="paragraph" w:styleId="5">
    <w:name w:val="Balloon Text"/>
    <w:basedOn w:val="1"/>
    <w:link w:val="14"/>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1">
    <w:name w:val="页眉 Char"/>
    <w:basedOn w:val="8"/>
    <w:link w:val="7"/>
    <w:semiHidden/>
    <w:qFormat/>
    <w:uiPriority w:val="99"/>
    <w:rPr>
      <w:sz w:val="18"/>
      <w:szCs w:val="18"/>
    </w:rPr>
  </w:style>
  <w:style w:type="character" w:customStyle="1" w:styleId="12">
    <w:name w:val="页脚 Char"/>
    <w:basedOn w:val="8"/>
    <w:link w:val="6"/>
    <w:semiHidden/>
    <w:qFormat/>
    <w:uiPriority w:val="99"/>
    <w:rPr>
      <w:sz w:val="18"/>
      <w:szCs w:val="18"/>
    </w:rPr>
  </w:style>
  <w:style w:type="character" w:customStyle="1" w:styleId="13">
    <w:name w:val="批注文字 Char"/>
    <w:basedOn w:val="8"/>
    <w:link w:val="3"/>
    <w:qFormat/>
    <w:uiPriority w:val="0"/>
    <w:rPr>
      <w:szCs w:val="24"/>
    </w:rPr>
  </w:style>
  <w:style w:type="character" w:customStyle="1" w:styleId="14">
    <w:name w:val="批注框文本 Char"/>
    <w:basedOn w:val="8"/>
    <w:link w:val="5"/>
    <w:semiHidden/>
    <w:qFormat/>
    <w:uiPriority w:val="99"/>
    <w:rPr>
      <w:sz w:val="18"/>
      <w:szCs w:val="18"/>
    </w:rPr>
  </w:style>
  <w:style w:type="character" w:customStyle="1" w:styleId="15">
    <w:name w:val="文档结构图 Char"/>
    <w:basedOn w:val="8"/>
    <w:link w:val="4"/>
    <w:semiHidden/>
    <w:qFormat/>
    <w:uiPriority w:val="99"/>
    <w:rPr>
      <w:rFonts w:ascii="宋体" w:eastAsia="宋体"/>
      <w:sz w:val="18"/>
      <w:szCs w:val="18"/>
    </w:rPr>
  </w:style>
  <w:style w:type="character" w:customStyle="1" w:styleId="16">
    <w:name w:val="font11"/>
    <w:basedOn w:val="8"/>
    <w:qFormat/>
    <w:uiPriority w:val="0"/>
    <w:rPr>
      <w:rFonts w:hint="eastAsia" w:ascii="微软雅黑" w:hAnsi="微软雅黑" w:eastAsia="微软雅黑"/>
      <w:b/>
      <w:bCs/>
      <w:color w:val="000000"/>
      <w:sz w:val="16"/>
      <w:szCs w:val="16"/>
      <w:u w:val="none"/>
    </w:rPr>
  </w:style>
  <w:style w:type="character" w:customStyle="1" w:styleId="17">
    <w:name w:val="font51"/>
    <w:basedOn w:val="8"/>
    <w:qFormat/>
    <w:uiPriority w:val="0"/>
    <w:rPr>
      <w:rFonts w:hint="eastAsia" w:ascii="微软雅黑" w:hAnsi="微软雅黑" w:eastAsia="微软雅黑"/>
      <w:color w:val="000000"/>
      <w:sz w:val="16"/>
      <w:szCs w:val="16"/>
      <w:u w:val="none"/>
    </w:rPr>
  </w:style>
  <w:style w:type="character" w:customStyle="1" w:styleId="18">
    <w:name w:val="font31"/>
    <w:basedOn w:val="8"/>
    <w:qFormat/>
    <w:uiPriority w:val="0"/>
    <w:rPr>
      <w:rFonts w:hint="default" w:ascii="Arial" w:hAnsi="Arial" w:cs="Arial"/>
      <w:color w:val="000000"/>
      <w:sz w:val="16"/>
      <w:szCs w:val="16"/>
      <w:u w:val="none"/>
    </w:rPr>
  </w:style>
  <w:style w:type="character" w:customStyle="1" w:styleId="19">
    <w:name w:val="font21"/>
    <w:basedOn w:val="8"/>
    <w:qFormat/>
    <w:uiPriority w:val="0"/>
    <w:rPr>
      <w:rFonts w:hint="eastAsia" w:ascii="宋体" w:hAnsi="宋体" w:eastAsia="宋体"/>
      <w:color w:val="000000"/>
      <w:sz w:val="16"/>
      <w:szCs w:val="16"/>
      <w:u w:val="none"/>
    </w:rPr>
  </w:style>
  <w:style w:type="character" w:customStyle="1" w:styleId="20">
    <w:name w:val="批注主题 Char"/>
    <w:basedOn w:val="13"/>
    <w:link w:val="2"/>
    <w:semiHidden/>
    <w:qFormat/>
    <w:uiPriority w:val="99"/>
    <w:rPr>
      <w:b/>
      <w:bCs/>
    </w:rPr>
  </w:style>
  <w:style w:type="paragraph" w:customStyle="1"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105A6-8E21-4CE7-A201-821E01BAB7C1}">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2083</Words>
  <Characters>11874</Characters>
  <Lines>98</Lines>
  <Paragraphs>27</Paragraphs>
  <ScaleCrop>false</ScaleCrop>
  <LinksUpToDate>false</LinksUpToDate>
  <CharactersWithSpaces>13930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2021-09-20T05:54:00Z</dcterms:created>
  <dc:creator>lenovo</dc:creator>
  <cp:lastModifiedBy>石玉筠</cp:lastModifiedBy>
  <cp:lastPrinted>2021-09-22T01:03:00Z</cp:lastPrinted>
  <dcterms:modified xsi:type="dcterms:W3CDTF">2021-10-14T09:19:10Z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