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方正小标宋_GBK" w:cs="方正小标宋_GBK"/>
          <w:bCs/>
          <w:color w:val="auto"/>
          <w:spacing w:val="0"/>
          <w:position w:val="0"/>
          <w:sz w:val="44"/>
          <w:szCs w:val="28"/>
          <w:shd w:val="clear" w:color="auto" w:fill="auto"/>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方正小标宋_GBK" w:cs="方正小标宋_GBK"/>
          <w:bCs/>
          <w:color w:val="auto"/>
          <w:spacing w:val="0"/>
          <w:position w:val="0"/>
          <w:sz w:val="44"/>
          <w:szCs w:val="28"/>
          <w:shd w:val="clear" w:color="auto" w:fill="auto"/>
        </w:rPr>
      </w:pPr>
    </w:p>
    <w:p>
      <w:pPr>
        <w:keepNext w:val="0"/>
        <w:keepLines w:val="0"/>
        <w:pageBreakBefore w:val="0"/>
        <w:widowControl w:val="0"/>
        <w:kinsoku/>
        <w:wordWrap/>
        <w:overflowPunct/>
        <w:topLinePunct w:val="0"/>
        <w:autoSpaceDE/>
        <w:autoSpaceDN/>
        <w:bidi w:val="0"/>
        <w:adjustRightInd/>
        <w:ind w:left="0" w:leftChars="0" w:firstLine="0" w:firstLineChars="0"/>
        <w:textAlignment w:val="auto"/>
        <w:rPr>
          <w:rFonts w:hint="eastAsia" w:ascii="Times New Roman" w:hAnsi="Times New Roman"/>
          <w:bCs/>
        </w:rPr>
      </w:pPr>
      <w:r>
        <w:rPr>
          <w:rFonts w:hint="eastAsia" w:ascii="Times New Roman" w:hAnsi="Times New Roman"/>
          <w:bCs/>
        </w:rPr>
        <w:pict>
          <v:shape id="_x0000_s1026" o:spid="_x0000_s1026" o:spt="136" type="#_x0000_t136" style="position:absolute;left:0pt;margin-top:85.05pt;height:53.85pt;width:441.4pt;mso-position-horizontal:center;mso-position-horizontal-relative:page;mso-position-vertical-relative:page;z-index:251658240;mso-width-relative:page;mso-height-relative:page;" fillcolor="#FF0000" filled="t" stroked="f" coordsize="21600,21600" adj="10800">
            <v:path/>
            <v:fill on="t" color2="#FFFFFF" focussize="0,0"/>
            <v:stroke on="f"/>
            <v:imagedata o:title=""/>
            <o:lock v:ext="edit" aspectratio="f"/>
            <v:textpath on="t" fitshape="t" fitpath="t" trim="t" xscale="f" string="重庆市应急管理局" style="font-family:方正小标宋_GBK;font-size:36pt;font-weight:bold;v-rotate-letters:f;v-same-letter-heights:f;v-text-align:center;"/>
          </v:shape>
        </w:pict>
      </w:r>
      <w:r>
        <w:rPr>
          <w:rFonts w:hint="eastAsia" w:ascii="Times New Roman" w:hAnsi="Times New Roman"/>
          <w:bCs/>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9973310</wp:posOffset>
                </wp:positionV>
                <wp:extent cx="6120130" cy="0"/>
                <wp:effectExtent l="0" t="38100" r="13970" b="38100"/>
                <wp:wrapNone/>
                <wp:docPr id="1" name="直接连接符 1"/>
                <wp:cNvGraphicFramePr/>
                <a:graphic xmlns:a="http://schemas.openxmlformats.org/drawingml/2006/main">
                  <a:graphicData uri="http://schemas.microsoft.com/office/word/2010/wordprocessingShape">
                    <wps:wsp>
                      <wps:cNvSpPr/>
                      <wps:spPr>
                        <a:xfrm>
                          <a:off x="0" y="0"/>
                          <a:ext cx="6120130" cy="0"/>
                        </a:xfrm>
                        <a:prstGeom prst="line">
                          <a:avLst/>
                        </a:prstGeom>
                        <a:ln w="7620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785.3pt;height:0pt;width:481.9pt;mso-position-horizontal:center;mso-position-horizontal-relative:page;mso-position-vertical-relative:page;z-index:251660288;mso-width-relative:page;mso-height-relative:page;" filled="f" stroked="t" coordsize="21600,21600" o:gfxdata="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Qk1C60wAAAAoBAAAPAAAAAAAA&#10;AAEAIAAAACIAAABkcnMvZG93bnJldi54bWxQSwECFAAUAAAACACHTuJAe1khIt4BAACdAwAADgAA&#10;AAAAAAABACAAAAAiAQAAZHJzL2Uyb0RvYy54bWxQSwUGAAAAAAYABgBZAQAAcgUAAAAA&#10;">
                <v:fill on="f" focussize="0,0"/>
                <v:stroke weight="6pt" color="#FF0000" linestyle="thinThick" joinstyle="round"/>
                <v:imagedata o:title=""/>
                <o:lock v:ext="edit" aspectratio="f"/>
              </v:line>
            </w:pict>
          </mc:Fallback>
        </mc:AlternateContent>
      </w:r>
      <w:r>
        <w:rPr>
          <w:rFonts w:hint="eastAsia" w:ascii="Times New Roman" w:hAnsi="Times New Roman"/>
          <w:bC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1908175</wp:posOffset>
                </wp:positionV>
                <wp:extent cx="6120130" cy="0"/>
                <wp:effectExtent l="0" t="38100" r="13970" b="38100"/>
                <wp:wrapNone/>
                <wp:docPr id="2" name="直接连接符 2"/>
                <wp:cNvGraphicFramePr/>
                <a:graphic xmlns:a="http://schemas.openxmlformats.org/drawingml/2006/main">
                  <a:graphicData uri="http://schemas.microsoft.com/office/word/2010/wordprocessingShape">
                    <wps:wsp>
                      <wps:cNvSpPr/>
                      <wps:spPr>
                        <a:xfrm>
                          <a:off x="0" y="0"/>
                          <a:ext cx="6120130" cy="0"/>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50.25pt;height:0pt;width:481.9pt;mso-position-horizontal:center;mso-position-horizontal-relative:page;mso-position-vertical-relative:page;z-index:251659264;mso-width-relative:page;mso-height-relative:page;" filled="f" stroked="t" coordsize="21600,21600" o:gfxdata="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ys2WU1gAAAAgBAAAPAAAA&#10;AAAAAAEAIAAAACIAAABkcnMvZG93bnJldi54bWxQSwECFAAUAAAACACHTuJAgFBbkt4BAACdAwAA&#10;DgAAAAAAAAABACAAAAAlAQAAZHJzL2Uyb0RvYy54bWxQSwUGAAAAAAYABgBZAQAAdQUAAAAA&#10;">
                <v:fill on="f" focussize="0,0"/>
                <v:stroke weight="6pt" color="#FF0000" linestyle="thickThin" joinstyle="round"/>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leftChars="0" w:right="0" w:rightChars="0" w:firstLine="0" w:firstLineChars="0"/>
        <w:jc w:val="center"/>
        <w:textAlignment w:val="auto"/>
        <w:outlineLvl w:val="0"/>
        <w:rPr>
          <w:rFonts w:hint="eastAsia" w:ascii="Times New Roman" w:hAnsi="Times New Roman" w:eastAsia="方正小标宋_GBK" w:cs="方正小标宋_GBK"/>
          <w:b w:val="0"/>
          <w:bCs w:val="0"/>
          <w:sz w:val="44"/>
          <w:szCs w:val="44"/>
          <w:lang w:eastAsia="zh-CN"/>
        </w:rPr>
      </w:pPr>
    </w:p>
    <w:p>
      <w:pPr>
        <w:pStyle w:val="4"/>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leftChars="0" w:right="0" w:rightChars="0" w:firstLine="0" w:firstLineChars="0"/>
        <w:jc w:val="center"/>
        <w:textAlignment w:val="auto"/>
        <w:outlineLvl w:val="0"/>
        <w:rPr>
          <w:rFonts w:hint="eastAsia" w:ascii="Times New Roman" w:hAnsi="Times New Roman" w:eastAsia="方正小标宋_GBK" w:cs="方正小标宋_GBK"/>
          <w:b w:val="0"/>
          <w:bCs w:val="0"/>
          <w:sz w:val="44"/>
          <w:szCs w:val="44"/>
          <w:lang w:eastAsia="zh-CN"/>
        </w:rPr>
      </w:pPr>
      <w:r>
        <w:rPr>
          <w:rFonts w:hint="eastAsia" w:ascii="Times New Roman" w:hAnsi="Times New Roman" w:eastAsia="方正小标宋_GBK" w:cs="方正小标宋_GBK"/>
          <w:b w:val="0"/>
          <w:bCs w:val="0"/>
          <w:sz w:val="44"/>
          <w:szCs w:val="44"/>
          <w:lang w:eastAsia="zh-CN"/>
        </w:rPr>
        <w:t>重庆市应急管理局</w:t>
      </w:r>
    </w:p>
    <w:p>
      <w:pPr>
        <w:pStyle w:val="4"/>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leftChars="0" w:right="0" w:rightChars="0" w:firstLine="0" w:firstLineChars="0"/>
        <w:jc w:val="center"/>
        <w:textAlignment w:val="auto"/>
        <w:outlineLvl w:val="0"/>
        <w:rPr>
          <w:rFonts w:hint="eastAsia" w:ascii="Times New Roman" w:hAnsi="Times New Roman" w:eastAsia="方正小标宋_GBK" w:cs="方正小标宋_GBK"/>
          <w:b w:val="0"/>
          <w:bCs w:val="0"/>
          <w:sz w:val="44"/>
          <w:szCs w:val="44"/>
          <w:lang w:eastAsia="zh-CN"/>
        </w:rPr>
      </w:pPr>
      <w:r>
        <w:rPr>
          <w:rFonts w:hint="eastAsia" w:ascii="Times New Roman" w:hAnsi="Times New Roman" w:eastAsia="方正小标宋_GBK" w:cs="方正小标宋_GBK"/>
          <w:b w:val="0"/>
          <w:bCs w:val="0"/>
          <w:sz w:val="44"/>
          <w:szCs w:val="44"/>
          <w:lang w:eastAsia="zh-CN"/>
        </w:rPr>
        <w:t>关于公示</w:t>
      </w:r>
      <w:r>
        <w:rPr>
          <w:rFonts w:hint="eastAsia" w:ascii="Times New Roman" w:hAnsi="Times New Roman" w:eastAsia="方正小标宋_GBK" w:cs="方正小标宋_GBK"/>
          <w:b w:val="0"/>
          <w:bCs w:val="0"/>
          <w:sz w:val="44"/>
          <w:szCs w:val="44"/>
        </w:rPr>
        <w:t>安全生产标准化</w:t>
      </w:r>
      <w:r>
        <w:rPr>
          <w:rFonts w:hint="eastAsia" w:ascii="Times New Roman" w:hAnsi="Times New Roman" w:eastAsia="方正小标宋_GBK" w:cs="方正小标宋_GBK"/>
          <w:b w:val="0"/>
          <w:bCs w:val="0"/>
          <w:sz w:val="44"/>
          <w:szCs w:val="44"/>
          <w:lang w:eastAsia="zh-CN"/>
        </w:rPr>
        <w:t>二级企业的通告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0"/>
        <w:rPr>
          <w:rFonts w:hint="eastAsia" w:ascii="Times New Roman" w:hAnsi="Times New Roman" w:eastAsia="方正黑体_GBK"/>
          <w:bCs/>
          <w:color w:val="auto"/>
        </w:rPr>
      </w:pPr>
      <w:r>
        <w:rPr>
          <w:rFonts w:hint="eastAsia" w:ascii="Times New Roman" w:hAnsi="Times New Roman" w:eastAsia="方正黑体_GBK"/>
          <w:bCs/>
          <w:color w:val="auto"/>
          <w:lang w:eastAsia="zh-CN"/>
        </w:rPr>
        <w:t>20</w:t>
      </w:r>
      <w:r>
        <w:rPr>
          <w:rFonts w:hint="eastAsia" w:ascii="Times New Roman" w:hAnsi="Times New Roman" w:eastAsia="方正黑体_GBK"/>
          <w:bCs/>
          <w:color w:val="auto"/>
          <w:lang w:val="en-US" w:eastAsia="zh-CN"/>
        </w:rPr>
        <w:t>23</w:t>
      </w:r>
      <w:r>
        <w:rPr>
          <w:rFonts w:hint="eastAsia" w:ascii="Times New Roman" w:hAnsi="Times New Roman" w:eastAsia="方正黑体_GBK"/>
          <w:bCs/>
          <w:color w:val="auto"/>
          <w:lang w:eastAsia="zh-CN"/>
        </w:rPr>
        <w:t>年第</w:t>
      </w:r>
      <w:r>
        <w:rPr>
          <w:rFonts w:hint="eastAsia" w:ascii="Times New Roman" w:hAnsi="Times New Roman" w:eastAsia="方正黑体_GBK"/>
          <w:bCs/>
          <w:color w:val="auto"/>
          <w:lang w:val="en-US" w:eastAsia="zh-CN"/>
        </w:rPr>
        <w:t>8</w:t>
      </w:r>
      <w:r>
        <w:rPr>
          <w:rFonts w:hint="eastAsia" w:ascii="Times New Roman" w:hAnsi="Times New Roman" w:eastAsia="方正黑体_GBK"/>
          <w:bCs/>
          <w:color w:val="auto"/>
          <w:lang w:eastAsia="zh-CN"/>
        </w:rPr>
        <w:t>号</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lang w:eastAsia="zh-CN"/>
        </w:rPr>
      </w:pPr>
      <w:r>
        <w:rPr>
          <w:rFonts w:hint="eastAsia" w:ascii="Times New Roman" w:hAnsi="Times New Roman" w:eastAsia="方正仿宋_GBK" w:cs="方正仿宋_GBK"/>
        </w:rPr>
        <w:t>按</w:t>
      </w:r>
      <w:r>
        <w:rPr>
          <w:rFonts w:hint="eastAsia" w:ascii="Times New Roman" w:hAnsi="Times New Roman" w:eastAsia="方正仿宋_GBK" w:cs="方正仿宋_GBK"/>
          <w:lang w:eastAsia="zh-CN"/>
        </w:rPr>
        <w:t>照《企业安全生产标准化建设定级办法》（</w:t>
      </w:r>
      <w:r>
        <w:rPr>
          <w:rFonts w:hint="eastAsia" w:ascii="Times New Roman" w:hAnsi="Times New Roman" w:cs="Times New Roman"/>
          <w:szCs w:val="22"/>
          <w:lang w:val="en-US" w:eastAsia="zh-CN"/>
        </w:rPr>
        <w:t>应急〔2021〕83号）</w:t>
      </w:r>
      <w:r>
        <w:rPr>
          <w:rFonts w:hint="eastAsia" w:ascii="Times New Roman" w:hAnsi="Times New Roman" w:cs="方正仿宋_GBK"/>
          <w:lang w:eastAsia="zh-CN"/>
        </w:rPr>
        <w:t>和</w:t>
      </w:r>
      <w:r>
        <w:rPr>
          <w:rFonts w:hint="eastAsia" w:ascii="Times New Roman" w:hAnsi="Times New Roman" w:eastAsia="方正仿宋_GBK" w:cs="方正仿宋_GBK"/>
          <w:lang w:eastAsia="zh-CN"/>
        </w:rPr>
        <w:t>《重庆市应急管理局关于印发重庆市工贸企业安全生产标准化建设定级办法的通知》</w:t>
      </w:r>
      <w:r>
        <w:rPr>
          <w:rFonts w:hint="eastAsia" w:ascii="Times New Roman" w:hAnsi="Times New Roman" w:cs="Times New Roman"/>
          <w:szCs w:val="22"/>
          <w:lang w:val="en-US" w:eastAsia="zh-CN"/>
        </w:rPr>
        <w:t>（渝应急发〔2023〕2号）有关规定，经企业自愿申请，我局组织专家现场评审，拟授予</w:t>
      </w:r>
      <w:r>
        <w:rPr>
          <w:rFonts w:hint="eastAsia" w:ascii="Times New Roman" w:hAnsi="Times New Roman" w:cs="Times New Roman"/>
          <w:szCs w:val="22"/>
        </w:rPr>
        <w:t>重庆江东机械有限责任公司</w:t>
      </w:r>
      <w:r>
        <w:rPr>
          <w:rFonts w:hint="eastAsia" w:ascii="Times New Roman" w:hAnsi="Times New Roman" w:cs="Times New Roman"/>
          <w:szCs w:val="22"/>
          <w:lang w:val="en-US" w:eastAsia="zh-CN"/>
        </w:rPr>
        <w:t>等28家企业（单位）</w:t>
      </w:r>
      <w:r>
        <w:rPr>
          <w:rFonts w:hint="eastAsia" w:ascii="Times New Roman" w:hAnsi="Times New Roman" w:eastAsia="方正仿宋_GBK" w:cs="方正仿宋_GBK"/>
          <w:lang w:eastAsia="zh-CN"/>
        </w:rPr>
        <w:t>为安全生产标准化二级企业（单位），现予以公示，接受社会监督。</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公示期间，如发现申报企业存在瞒报事故、弄虚作假等违法违规行为的，将依规取消其申报资格。</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对公示企业有异议的，请于公示之日起</w:t>
      </w:r>
      <w:r>
        <w:rPr>
          <w:rFonts w:hint="eastAsia" w:ascii="Times New Roman" w:hAnsi="Times New Roman" w:cs="Times New Roman"/>
          <w:szCs w:val="22"/>
          <w:lang w:val="en-US" w:eastAsia="zh-CN"/>
        </w:rPr>
        <w:t>7个</w:t>
      </w:r>
      <w:r>
        <w:rPr>
          <w:rFonts w:hint="eastAsia" w:ascii="Times New Roman" w:hAnsi="Times New Roman" w:cs="方正仿宋_GBK"/>
          <w:lang w:val="en-US" w:eastAsia="zh-CN"/>
        </w:rPr>
        <w:t>工作</w:t>
      </w:r>
      <w:r>
        <w:rPr>
          <w:rFonts w:hint="eastAsia" w:ascii="Times New Roman" w:hAnsi="Times New Roman" w:eastAsia="方正仿宋_GBK" w:cs="方正仿宋_GBK"/>
        </w:rPr>
        <w:t>日内将有关书面材料</w:t>
      </w:r>
      <w:r>
        <w:rPr>
          <w:rFonts w:hint="eastAsia" w:ascii="Times New Roman" w:hAnsi="Times New Roman" w:eastAsia="方正仿宋_GBK" w:cs="方正仿宋_GBK"/>
          <w:lang w:eastAsia="zh-CN"/>
        </w:rPr>
        <w:t>交</w:t>
      </w:r>
      <w:r>
        <w:rPr>
          <w:rFonts w:hint="eastAsia" w:ascii="Times New Roman" w:hAnsi="Times New Roman" w:eastAsia="方正仿宋_GBK" w:cs="方正仿宋_GBK"/>
        </w:rPr>
        <w:t>到（或</w:t>
      </w:r>
      <w:r>
        <w:rPr>
          <w:rFonts w:hint="eastAsia" w:ascii="Times New Roman" w:hAnsi="Times New Roman" w:eastAsia="方正仿宋_GBK" w:cs="方正仿宋_GBK"/>
          <w:lang w:eastAsia="zh-CN"/>
        </w:rPr>
        <w:t>邮寄</w:t>
      </w:r>
      <w:r>
        <w:rPr>
          <w:rFonts w:hint="eastAsia" w:ascii="Times New Roman" w:hAnsi="Times New Roman" w:eastAsia="方正仿宋_GBK" w:cs="方正仿宋_GBK"/>
        </w:rPr>
        <w:t>）</w:t>
      </w:r>
      <w:r>
        <w:rPr>
          <w:rFonts w:hint="eastAsia" w:ascii="Times New Roman" w:hAnsi="Times New Roman" w:eastAsia="方正仿宋_GBK" w:cs="方正仿宋_GBK"/>
          <w:lang w:eastAsia="zh-CN"/>
        </w:rPr>
        <w:t>重庆市应急管理局</w:t>
      </w:r>
      <w:r>
        <w:rPr>
          <w:rFonts w:hint="eastAsia" w:ascii="Times New Roman" w:hAnsi="Times New Roman" w:eastAsia="方正仿宋_GBK" w:cs="方正仿宋_GBK"/>
        </w:rPr>
        <w:t>。单位反映情况要加盖公章，个人反映情况要用真实姓名并提供联系方式，以便核实。</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lang w:eastAsia="zh-CN"/>
        </w:rPr>
      </w:pPr>
      <w:r>
        <w:rPr>
          <w:rFonts w:hint="eastAsia" w:ascii="Times New Roman" w:hAnsi="Times New Roman" w:cs="方正仿宋_GBK"/>
          <w:lang w:eastAsia="zh-CN"/>
        </w:rPr>
        <w:t>特此通告。</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联</w:t>
      </w:r>
      <w:r>
        <w:rPr>
          <w:rFonts w:hint="eastAsia" w:ascii="Times New Roman" w:hAnsi="Times New Roman" w:cs="方正仿宋_GBK"/>
          <w:lang w:val="en-US" w:eastAsia="zh-CN"/>
        </w:rPr>
        <w:t xml:space="preserve"> </w:t>
      </w:r>
      <w:r>
        <w:rPr>
          <w:rFonts w:hint="eastAsia" w:ascii="Times New Roman" w:hAnsi="Times New Roman" w:eastAsia="方正仿宋_GBK" w:cs="方正仿宋_GBK"/>
        </w:rPr>
        <w:t>系</w:t>
      </w:r>
      <w:r>
        <w:rPr>
          <w:rFonts w:hint="eastAsia" w:ascii="Times New Roman" w:hAnsi="Times New Roman" w:cs="方正仿宋_GBK"/>
          <w:lang w:val="en-US" w:eastAsia="zh-CN"/>
        </w:rPr>
        <w:t xml:space="preserve"> </w:t>
      </w:r>
      <w:r>
        <w:rPr>
          <w:rFonts w:hint="eastAsia" w:ascii="Times New Roman" w:hAnsi="Times New Roman" w:eastAsia="方正仿宋_GBK" w:cs="方正仿宋_GBK"/>
        </w:rPr>
        <w:t>人</w:t>
      </w:r>
      <w:r>
        <w:rPr>
          <w:rFonts w:hint="eastAsia" w:ascii="Times New Roman" w:hAnsi="Times New Roman" w:eastAsia="方正仿宋_GBK" w:cs="方正仿宋_GBK"/>
          <w:lang w:eastAsia="zh-CN"/>
        </w:rPr>
        <w:t>：</w:t>
      </w:r>
      <w:r>
        <w:rPr>
          <w:rFonts w:hint="eastAsia" w:ascii="Times New Roman" w:hAnsi="Times New Roman" w:cs="方正仿宋_GBK"/>
          <w:lang w:val="en-US" w:eastAsia="zh-CN"/>
        </w:rPr>
        <w:t>曾尚伟</w:t>
      </w:r>
      <w:r>
        <w:rPr>
          <w:rFonts w:hint="eastAsia" w:ascii="Times New Roman" w:hAnsi="Times New Roman" w:eastAsia="方正仿宋_GBK" w:cs="方正仿宋_GBK"/>
          <w:lang w:eastAsia="zh-CN"/>
        </w:rPr>
        <w:t>；</w:t>
      </w:r>
      <w:r>
        <w:rPr>
          <w:rFonts w:hint="eastAsia" w:ascii="Times New Roman" w:hAnsi="Times New Roman" w:eastAsia="方正仿宋_GBK" w:cs="方正仿宋_GBK"/>
        </w:rPr>
        <w:t>联系电话</w:t>
      </w:r>
      <w:r>
        <w:rPr>
          <w:rFonts w:hint="eastAsia" w:ascii="Times New Roman" w:hAnsi="Times New Roman" w:eastAsia="方正仿宋_GBK" w:cs="方正仿宋_GBK"/>
          <w:lang w:eastAsia="zh-CN"/>
        </w:rPr>
        <w:t>：（</w:t>
      </w:r>
      <w:r>
        <w:rPr>
          <w:rFonts w:hint="eastAsia" w:ascii="Times New Roman" w:hAnsi="Times New Roman" w:cs="Times New Roman"/>
          <w:szCs w:val="22"/>
          <w:lang w:val="en-US" w:eastAsia="zh-CN"/>
        </w:rPr>
        <w:t>023）63219223；</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地</w:t>
      </w:r>
      <w:r>
        <w:rPr>
          <w:rFonts w:hint="eastAsia" w:ascii="Times New Roman" w:hAnsi="Times New Roman" w:cs="方正仿宋_GBK"/>
          <w:lang w:val="en-US" w:eastAsia="zh-CN"/>
        </w:rPr>
        <w:t xml:space="preserve">    </w:t>
      </w:r>
      <w:r>
        <w:rPr>
          <w:rFonts w:hint="eastAsia" w:ascii="Times New Roman" w:hAnsi="Times New Roman" w:eastAsia="方正仿宋_GBK" w:cs="方正仿宋_GBK"/>
        </w:rPr>
        <w:t>址：</w:t>
      </w:r>
      <w:r>
        <w:rPr>
          <w:rFonts w:hint="eastAsia" w:ascii="Times New Roman" w:hAnsi="Times New Roman" w:eastAsia="方正仿宋_GBK" w:cs="方正仿宋_GBK"/>
          <w:lang w:eastAsia="zh-CN"/>
        </w:rPr>
        <w:t>渝北区青枫北路</w:t>
      </w:r>
      <w:r>
        <w:rPr>
          <w:rFonts w:hint="eastAsia" w:ascii="Times New Roman" w:hAnsi="Times New Roman" w:cs="Times New Roman"/>
          <w:szCs w:val="22"/>
          <w:lang w:val="en-US" w:eastAsia="zh-CN"/>
        </w:rPr>
        <w:t>12号504</w:t>
      </w:r>
      <w:r>
        <w:rPr>
          <w:rFonts w:hint="eastAsia" w:ascii="Times New Roman" w:hAnsi="Times New Roman" w:eastAsia="方正仿宋_GBK" w:cs="方正仿宋_GBK"/>
        </w:rPr>
        <w:t>室</w:t>
      </w:r>
      <w:r>
        <w:rPr>
          <w:rFonts w:hint="eastAsia" w:ascii="Times New Roman" w:hAnsi="Times New Roman" w:eastAsia="方正仿宋_GBK" w:cs="方正仿宋_GBK"/>
          <w:lang w:eastAsia="zh-CN"/>
        </w:rPr>
        <w:t>。</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lang w:eastAsia="zh-CN"/>
        </w:rPr>
      </w:pPr>
      <w:r>
        <w:rPr>
          <w:rFonts w:hint="eastAsia" w:ascii="Times New Roman" w:hAnsi="Times New Roman" w:eastAsia="方正仿宋_GBK" w:cs="方正仿宋_GBK"/>
          <w:lang w:eastAsia="zh-CN"/>
        </w:rPr>
        <w:t>附件：</w:t>
      </w:r>
      <w:r>
        <w:rPr>
          <w:rFonts w:hint="eastAsia" w:ascii="Times New Roman" w:hAnsi="Times New Roman" w:eastAsia="方正仿宋_GBK" w:cs="方正仿宋_GBK"/>
        </w:rPr>
        <w:t>拟授予</w:t>
      </w:r>
      <w:r>
        <w:rPr>
          <w:rFonts w:hint="eastAsia" w:ascii="Times New Roman" w:hAnsi="Times New Roman" w:eastAsia="方正仿宋_GBK" w:cs="方正仿宋_GBK"/>
          <w:lang w:eastAsia="zh-CN"/>
        </w:rPr>
        <w:t>安全生产标准化二级企业</w:t>
      </w:r>
      <w:r>
        <w:rPr>
          <w:rFonts w:hint="eastAsia" w:ascii="Times New Roman" w:hAnsi="Times New Roman" w:eastAsia="方正仿宋_GBK" w:cs="方正仿宋_GBK"/>
          <w:lang w:val="en-US" w:eastAsia="zh-CN"/>
        </w:rPr>
        <w:t>（单位）名单</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outlineLvl w:val="9"/>
        <w:rPr>
          <w:rFonts w:hint="eastAsia" w:ascii="Times New Roman" w:hAnsi="Times New Roman" w:eastAsia="方正仿宋_GBK" w:cs="方正仿宋_GBK"/>
          <w:lang w:eastAsia="zh-CN"/>
        </w:rPr>
      </w:pPr>
      <w:bookmarkStart w:id="0" w:name="_GoBack"/>
      <w:bookmarkEnd w:id="0"/>
      <w:r>
        <w:rPr>
          <w:rFonts w:hint="eastAsia" w:ascii="Times New Roman" w:hAnsi="Times New Roman" w:eastAsia="方正仿宋_GBK" w:cs="方正仿宋_GBK"/>
          <w:lang w:eastAsia="zh-CN"/>
        </w:rPr>
        <w:t>重庆市应急管理局</w:t>
      </w:r>
    </w:p>
    <w:p>
      <w:pPr>
        <w:keepNext w:val="0"/>
        <w:keepLines w:val="0"/>
        <w:pageBreakBefore w:val="0"/>
        <w:widowControl w:val="0"/>
        <w:kinsoku/>
        <w:wordWrap/>
        <w:overflowPunct/>
        <w:topLinePunct w:val="0"/>
        <w:autoSpaceDE/>
        <w:autoSpaceDN/>
        <w:bidi w:val="0"/>
        <w:adjustRightInd/>
        <w:snapToGrid/>
        <w:spacing w:line="594" w:lineRule="exact"/>
        <w:ind w:right="1280" w:rightChars="400" w:firstLine="0" w:firstLineChars="0"/>
        <w:jc w:val="right"/>
        <w:textAlignment w:val="auto"/>
        <w:outlineLvl w:val="9"/>
        <w:rPr>
          <w:rFonts w:hint="eastAsia" w:ascii="Times New Roman" w:hAnsi="Times New Roman" w:eastAsia="方正仿宋_GBK" w:cs="方正仿宋_GBK"/>
          <w:lang w:val="en-US" w:eastAsia="zh-CN"/>
        </w:rPr>
      </w:pPr>
      <w:r>
        <w:rPr>
          <w:rFonts w:hint="eastAsia" w:ascii="Times New Roman" w:hAnsi="Times New Roman" w:cs="方正仿宋_GBK"/>
          <w:lang w:val="en-US" w:eastAsia="zh-CN"/>
        </w:rPr>
        <w:t xml:space="preserve">     </w:t>
      </w:r>
      <w:r>
        <w:rPr>
          <w:rFonts w:hint="eastAsia" w:ascii="Times New Roman" w:hAnsi="Times New Roman" w:cs="Times New Roman"/>
          <w:szCs w:val="22"/>
          <w:lang w:val="en-US" w:eastAsia="zh-CN"/>
        </w:rPr>
        <w:t>2023年9月28日</w:t>
      </w:r>
    </w:p>
    <w:p>
      <w:pPr>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br w:type="page"/>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Times New Roman" w:hAnsi="Times New Roman" w:eastAsia="方正黑体_GBK" w:cs="方正黑体_GBK"/>
          <w:lang w:eastAsia="zh-CN"/>
        </w:rPr>
      </w:pPr>
      <w:r>
        <w:rPr>
          <w:rFonts w:hint="eastAsia" w:ascii="Times New Roman" w:hAnsi="Times New Roman" w:eastAsia="方正黑体_GBK" w:cs="方正黑体_GBK"/>
          <w:lang w:eastAsia="zh-CN"/>
        </w:rPr>
        <w:t>附件</w:t>
      </w:r>
    </w:p>
    <w:p>
      <w:pPr>
        <w:pStyle w:val="4"/>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_GBK" w:cs="方正小标宋_GBK"/>
          <w:b w:val="0"/>
          <w:bCs w:val="0"/>
          <w:sz w:val="44"/>
          <w:szCs w:val="44"/>
          <w:lang w:eastAsia="zh-CN"/>
        </w:rPr>
      </w:pPr>
    </w:p>
    <w:p>
      <w:pPr>
        <w:pStyle w:val="4"/>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leftChars="0" w:right="0" w:rightChars="0" w:firstLine="0" w:firstLineChars="0"/>
        <w:jc w:val="center"/>
        <w:textAlignment w:val="auto"/>
        <w:outlineLvl w:val="0"/>
        <w:rPr>
          <w:rFonts w:hint="eastAsia" w:ascii="Times New Roman" w:hAnsi="Times New Roman" w:eastAsia="方正小标宋_GBK" w:cs="方正小标宋_GBK"/>
          <w:b w:val="0"/>
          <w:bCs w:val="0"/>
          <w:sz w:val="44"/>
          <w:szCs w:val="44"/>
          <w:lang w:val="en-US" w:eastAsia="zh-CN"/>
        </w:rPr>
      </w:pPr>
      <w:r>
        <w:rPr>
          <w:rFonts w:hint="eastAsia" w:ascii="Times New Roman" w:hAnsi="Times New Roman" w:eastAsia="方正小标宋_GBK" w:cs="方正小标宋_GBK"/>
          <w:b w:val="0"/>
          <w:bCs w:val="0"/>
          <w:sz w:val="44"/>
          <w:szCs w:val="44"/>
          <w:lang w:eastAsia="zh-CN"/>
        </w:rPr>
        <w:t>拟授予安全生产标准化二级企业</w:t>
      </w:r>
      <w:r>
        <w:rPr>
          <w:rFonts w:hint="eastAsia" w:ascii="Times New Roman" w:hAnsi="Times New Roman" w:eastAsia="方正小标宋_GBK" w:cs="方正小标宋_GBK"/>
          <w:b w:val="0"/>
          <w:bCs w:val="0"/>
          <w:sz w:val="44"/>
          <w:szCs w:val="44"/>
          <w:lang w:val="en-US" w:eastAsia="zh-CN"/>
        </w:rPr>
        <w:t>（单位）名单</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1．</w:t>
      </w:r>
      <w:r>
        <w:rPr>
          <w:rFonts w:hint="eastAsia" w:ascii="Times New Roman" w:hAnsi="Times New Roman" w:cs="Times New Roman"/>
          <w:szCs w:val="22"/>
        </w:rPr>
        <w:t>重庆江东机械有限责任公司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2．</w:t>
      </w:r>
      <w:r>
        <w:rPr>
          <w:rFonts w:hint="eastAsia" w:ascii="Times New Roman" w:hAnsi="Times New Roman" w:cs="Times New Roman"/>
          <w:szCs w:val="22"/>
        </w:rPr>
        <w:t>精元（重庆）电脑有限公司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3．</w:t>
      </w:r>
      <w:r>
        <w:rPr>
          <w:rFonts w:hint="eastAsia" w:ascii="Times New Roman" w:hAnsi="Times New Roman" w:cs="Times New Roman"/>
          <w:szCs w:val="22"/>
        </w:rPr>
        <w:t>东风小康汽车有限公司重庆分公司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4．</w:t>
      </w:r>
      <w:r>
        <w:rPr>
          <w:rFonts w:hint="eastAsia" w:ascii="Times New Roman" w:hAnsi="Times New Roman" w:cs="Times New Roman"/>
          <w:szCs w:val="22"/>
        </w:rPr>
        <w:t>重庆科振酒店管理有限公司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5．</w:t>
      </w:r>
      <w:r>
        <w:rPr>
          <w:rFonts w:hint="eastAsia" w:ascii="Times New Roman" w:hAnsi="Times New Roman" w:cs="Times New Roman"/>
          <w:szCs w:val="22"/>
        </w:rPr>
        <w:t>重庆京东方显示技术有限公司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6．</w:t>
      </w:r>
      <w:r>
        <w:rPr>
          <w:rFonts w:hint="eastAsia" w:ascii="Times New Roman" w:hAnsi="Times New Roman" w:cs="Times New Roman"/>
          <w:szCs w:val="22"/>
        </w:rPr>
        <w:t>重庆京东方显示照明有限公司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7．</w:t>
      </w:r>
      <w:r>
        <w:rPr>
          <w:rFonts w:hint="eastAsia" w:ascii="Times New Roman" w:hAnsi="Times New Roman" w:cs="Times New Roman"/>
          <w:szCs w:val="22"/>
        </w:rPr>
        <w:t>益海嘉里（重庆）粮油有限公司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8．</w:t>
      </w:r>
      <w:r>
        <w:rPr>
          <w:rFonts w:hint="eastAsia" w:ascii="Times New Roman" w:hAnsi="Times New Roman" w:cs="Times New Roman"/>
          <w:szCs w:val="22"/>
        </w:rPr>
        <w:t>重庆育才教育装备有限公司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9．</w:t>
      </w:r>
      <w:r>
        <w:rPr>
          <w:rFonts w:hint="eastAsia" w:ascii="Times New Roman" w:hAnsi="Times New Roman" w:cs="Times New Roman"/>
          <w:szCs w:val="22"/>
        </w:rPr>
        <w:t>重庆大合汽车配件有限公司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10．</w:t>
      </w:r>
      <w:r>
        <w:rPr>
          <w:rFonts w:hint="eastAsia" w:ascii="Times New Roman" w:hAnsi="Times New Roman" w:cs="Times New Roman"/>
          <w:szCs w:val="22"/>
        </w:rPr>
        <w:t>重庆耀皮工程玻璃有限公司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11．</w:t>
      </w:r>
      <w:r>
        <w:rPr>
          <w:rFonts w:hint="eastAsia" w:ascii="Times New Roman" w:hAnsi="Times New Roman" w:cs="Times New Roman"/>
          <w:szCs w:val="22"/>
        </w:rPr>
        <w:t>重庆文正玻璃科技有限公司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12．</w:t>
      </w:r>
      <w:r>
        <w:rPr>
          <w:rFonts w:hint="eastAsia" w:ascii="Times New Roman" w:hAnsi="Times New Roman" w:cs="Times New Roman"/>
          <w:szCs w:val="22"/>
        </w:rPr>
        <w:t>重庆市北方铝业有限公司</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13．</w:t>
      </w:r>
      <w:r>
        <w:rPr>
          <w:rFonts w:hint="eastAsia" w:ascii="Times New Roman" w:hAnsi="Times New Roman" w:cs="Times New Roman"/>
          <w:szCs w:val="22"/>
        </w:rPr>
        <w:t>重庆荆江汽车半轴股份有限公司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14．</w:t>
      </w:r>
      <w:r>
        <w:rPr>
          <w:rFonts w:hint="eastAsia" w:ascii="Times New Roman" w:hAnsi="Times New Roman" w:cs="Times New Roman"/>
          <w:szCs w:val="22"/>
        </w:rPr>
        <w:t>重庆国之四维卫浴有限公司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15．</w:t>
      </w:r>
      <w:r>
        <w:rPr>
          <w:rFonts w:hint="eastAsia" w:ascii="Times New Roman" w:hAnsi="Times New Roman" w:cs="Times New Roman"/>
          <w:szCs w:val="22"/>
        </w:rPr>
        <w:t>上汽通用汽车销售有限公司重庆分公司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16．</w:t>
      </w:r>
      <w:r>
        <w:rPr>
          <w:rFonts w:hint="eastAsia" w:ascii="Times New Roman" w:hAnsi="Times New Roman" w:cs="Times New Roman"/>
          <w:szCs w:val="22"/>
        </w:rPr>
        <w:t>中煤科工集团重庆研究院有限公司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17．</w:t>
      </w:r>
      <w:r>
        <w:rPr>
          <w:rFonts w:hint="eastAsia" w:ascii="Times New Roman" w:hAnsi="Times New Roman" w:cs="Times New Roman"/>
          <w:szCs w:val="22"/>
        </w:rPr>
        <w:t>嘉吉饲料（重庆）有限公司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18．</w:t>
      </w:r>
      <w:r>
        <w:rPr>
          <w:rFonts w:hint="eastAsia" w:ascii="Times New Roman" w:hAnsi="Times New Roman" w:cs="Times New Roman"/>
          <w:szCs w:val="22"/>
        </w:rPr>
        <w:t>重庆顾地塑胶电器有限公司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19．</w:t>
      </w:r>
      <w:r>
        <w:rPr>
          <w:rFonts w:hint="eastAsia" w:ascii="Times New Roman" w:hAnsi="Times New Roman" w:cs="Times New Roman"/>
          <w:szCs w:val="22"/>
        </w:rPr>
        <w:t>重庆西胜电子科技有限公司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20．</w:t>
      </w:r>
      <w:r>
        <w:rPr>
          <w:rFonts w:hint="eastAsia" w:ascii="Times New Roman" w:hAnsi="Times New Roman" w:cs="Times New Roman"/>
          <w:szCs w:val="22"/>
        </w:rPr>
        <w:t>致伸科技（重庆）有限公司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21．</w:t>
      </w:r>
      <w:r>
        <w:rPr>
          <w:rFonts w:hint="eastAsia" w:ascii="Times New Roman" w:hAnsi="Times New Roman" w:cs="Times New Roman"/>
          <w:szCs w:val="22"/>
        </w:rPr>
        <w:t>重庆康明斯发动机有限公司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22．</w:t>
      </w:r>
      <w:r>
        <w:rPr>
          <w:rFonts w:hint="eastAsia" w:ascii="Times New Roman" w:hAnsi="Times New Roman" w:cs="Times New Roman"/>
          <w:szCs w:val="22"/>
        </w:rPr>
        <w:t>重庆泰山电缆有限公司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23．</w:t>
      </w:r>
      <w:r>
        <w:rPr>
          <w:rFonts w:hint="eastAsia" w:ascii="Times New Roman" w:hAnsi="Times New Roman" w:cs="Times New Roman"/>
          <w:szCs w:val="22"/>
        </w:rPr>
        <w:t>重庆雅迪科技有限公司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24．</w:t>
      </w:r>
      <w:r>
        <w:rPr>
          <w:rFonts w:hint="eastAsia" w:ascii="Times New Roman" w:hAnsi="Times New Roman" w:cs="Times New Roman"/>
          <w:szCs w:val="22"/>
        </w:rPr>
        <w:t>重庆长安汽车股份有限公司（渝北工厂）</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25．</w:t>
      </w:r>
      <w:r>
        <w:rPr>
          <w:rFonts w:hint="eastAsia" w:ascii="Times New Roman" w:hAnsi="Times New Roman" w:cs="Times New Roman"/>
          <w:szCs w:val="22"/>
        </w:rPr>
        <w:t>重庆长华汽车线束有限公司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26．</w:t>
      </w:r>
      <w:r>
        <w:rPr>
          <w:rFonts w:hint="eastAsia" w:ascii="Times New Roman" w:hAnsi="Times New Roman" w:cs="Times New Roman"/>
          <w:szCs w:val="22"/>
        </w:rPr>
        <w:t>重庆足航钢铁有限公司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27．</w:t>
      </w:r>
      <w:r>
        <w:rPr>
          <w:rFonts w:hint="eastAsia" w:ascii="Times New Roman" w:hAnsi="Times New Roman" w:cs="Times New Roman"/>
          <w:szCs w:val="22"/>
        </w:rPr>
        <w:t>重庆乐翻环保科技有限公司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rPr>
      </w:pPr>
      <w:r>
        <w:rPr>
          <w:rFonts w:hint="eastAsia" w:ascii="Times New Roman" w:hAnsi="Times New Roman" w:cs="Times New Roman"/>
          <w:szCs w:val="22"/>
          <w:lang w:val="en-US" w:eastAsia="zh-CN"/>
        </w:rPr>
        <w:t>28．</w:t>
      </w:r>
      <w:r>
        <w:rPr>
          <w:rFonts w:hint="eastAsia" w:ascii="Times New Roman" w:hAnsi="Times New Roman" w:cs="Times New Roman"/>
          <w:szCs w:val="22"/>
        </w:rPr>
        <w:t>重庆亿煊新材料科技有限公司</w:t>
      </w:r>
    </w:p>
    <w:p>
      <w:pPr>
        <w:rPr>
          <w:rFonts w:hint="default" w:ascii="Times New Roman" w:hAnsi="Times New Roman"/>
          <w:lang w:val="en-US" w:eastAsia="zh-CN"/>
        </w:rPr>
      </w:pPr>
    </w:p>
    <w:sectPr>
      <w:footerReference r:id="rId3" w:type="default"/>
      <w:footerReference r:id="rId4" w:type="even"/>
      <w:pgSz w:w="11906" w:h="16838"/>
      <w:pgMar w:top="1984" w:right="1446" w:bottom="1644" w:left="1446" w:header="851" w:footer="1247" w:gutter="0"/>
      <w:paperSrc/>
      <w:cols w:space="0" w:num="1"/>
      <w:titlePg/>
      <w:rtlGutter w:val="0"/>
      <w:docGrid w:type="linesAndChars"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left="0" w:leftChars="0" w:firstLine="0" w:firstLineChars="0"/>
      <w:jc w:val="right"/>
      <w:rPr>
        <w:rFonts w:hint="eastAsia" w:ascii="宋体" w:hAnsi="宋体" w:eastAsia="宋体" w:cs="宋体"/>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0" w:leftChars="0" w:firstLine="280" w:firstLineChars="100"/>
      <w:jc w:val="both"/>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evenAndOddHeaders w:val="1"/>
  <w:drawingGridHorizontalSpacing w:val="320"/>
  <w:drawingGridVerticalSpacing w:val="30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229A7"/>
    <w:rsid w:val="00FC2722"/>
    <w:rsid w:val="09FA3641"/>
    <w:rsid w:val="13E57DFB"/>
    <w:rsid w:val="1B5B5DFA"/>
    <w:rsid w:val="281417BC"/>
    <w:rsid w:val="29FF94B3"/>
    <w:rsid w:val="2A71F1EE"/>
    <w:rsid w:val="2C3E13E5"/>
    <w:rsid w:val="32FD86F9"/>
    <w:rsid w:val="341229A7"/>
    <w:rsid w:val="3CFC8F43"/>
    <w:rsid w:val="3D77408A"/>
    <w:rsid w:val="3DFFEAA5"/>
    <w:rsid w:val="3FC70274"/>
    <w:rsid w:val="43B90FE7"/>
    <w:rsid w:val="48CE6CD2"/>
    <w:rsid w:val="4C3121EB"/>
    <w:rsid w:val="4D711CB9"/>
    <w:rsid w:val="53EE58C0"/>
    <w:rsid w:val="5DF7048C"/>
    <w:rsid w:val="5DFBB75E"/>
    <w:rsid w:val="5FCE9E18"/>
    <w:rsid w:val="60903072"/>
    <w:rsid w:val="66770FF9"/>
    <w:rsid w:val="6DEE1833"/>
    <w:rsid w:val="713F2DC2"/>
    <w:rsid w:val="75FFCC0F"/>
    <w:rsid w:val="76AF6ED7"/>
    <w:rsid w:val="76FF27BB"/>
    <w:rsid w:val="77E76CE4"/>
    <w:rsid w:val="797CFCD3"/>
    <w:rsid w:val="7AFF978C"/>
    <w:rsid w:val="7BAE2C95"/>
    <w:rsid w:val="7BFDFCE1"/>
    <w:rsid w:val="7C2C0497"/>
    <w:rsid w:val="7DED42A6"/>
    <w:rsid w:val="7DFECD24"/>
    <w:rsid w:val="7EE9E62D"/>
    <w:rsid w:val="7F0EF040"/>
    <w:rsid w:val="7FD56B1F"/>
    <w:rsid w:val="7FFB40C9"/>
    <w:rsid w:val="7FFFC6CD"/>
    <w:rsid w:val="869F9C65"/>
    <w:rsid w:val="95FFDCAC"/>
    <w:rsid w:val="97BF9239"/>
    <w:rsid w:val="9F531853"/>
    <w:rsid w:val="9FA716F6"/>
    <w:rsid w:val="9FD6D089"/>
    <w:rsid w:val="A775AAA9"/>
    <w:rsid w:val="B5BFC980"/>
    <w:rsid w:val="B7D64F6D"/>
    <w:rsid w:val="B9FEF1C2"/>
    <w:rsid w:val="BDF56BE8"/>
    <w:rsid w:val="BE7FC790"/>
    <w:rsid w:val="BFBB23FB"/>
    <w:rsid w:val="BFED0067"/>
    <w:rsid w:val="BFFF59D7"/>
    <w:rsid w:val="C7ED82EE"/>
    <w:rsid w:val="CB87DA0E"/>
    <w:rsid w:val="CBF56770"/>
    <w:rsid w:val="CFFF5609"/>
    <w:rsid w:val="D2FC5877"/>
    <w:rsid w:val="D3AF4C20"/>
    <w:rsid w:val="DAFBE2DA"/>
    <w:rsid w:val="DF3FB8B2"/>
    <w:rsid w:val="DFE96BEA"/>
    <w:rsid w:val="E71D51B3"/>
    <w:rsid w:val="E7FC9F9A"/>
    <w:rsid w:val="EACB53E3"/>
    <w:rsid w:val="ED3DD98A"/>
    <w:rsid w:val="EDCDD433"/>
    <w:rsid w:val="EEB716FC"/>
    <w:rsid w:val="EEBF62FB"/>
    <w:rsid w:val="EEBF642D"/>
    <w:rsid w:val="EFF96217"/>
    <w:rsid w:val="EFFBE506"/>
    <w:rsid w:val="F516B601"/>
    <w:rsid w:val="F5EAD473"/>
    <w:rsid w:val="F73EF395"/>
    <w:rsid w:val="F76D1C9A"/>
    <w:rsid w:val="F87FD988"/>
    <w:rsid w:val="FBA65D7F"/>
    <w:rsid w:val="FBCF52E9"/>
    <w:rsid w:val="FCEFEC95"/>
    <w:rsid w:val="FDF6CB83"/>
    <w:rsid w:val="FEEEAA8B"/>
    <w:rsid w:val="FF7FC96E"/>
    <w:rsid w:val="FFAF517D"/>
    <w:rsid w:val="FFB7D13A"/>
    <w:rsid w:val="FFBB3A92"/>
    <w:rsid w:val="FFEB7BD4"/>
    <w:rsid w:val="FFF7FBDF"/>
    <w:rsid w:val="FFF92319"/>
    <w:rsid w:val="FFFF4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atLeast"/>
      <w:ind w:firstLine="640" w:firstLineChars="200"/>
      <w:jc w:val="both"/>
    </w:pPr>
    <w:rPr>
      <w:rFonts w:ascii="Times New Roman" w:hAnsi="Times New Roman" w:eastAsia="方正仿宋_GBK" w:cstheme="minorBidi"/>
      <w:kern w:val="2"/>
      <w:sz w:val="32"/>
      <w:szCs w:val="3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keepNext/>
      <w:keepLines/>
      <w:spacing w:beforeLines="0" w:beforeAutospacing="0" w:afterLines="0" w:afterAutospacing="0" w:line="560" w:lineRule="atLeast"/>
      <w:outlineLvl w:val="1"/>
    </w:pPr>
    <w:rPr>
      <w:rFonts w:ascii="Times New Roman" w:hAnsi="Times New Roman" w:eastAsia="方正楷体_GBK"/>
      <w:b/>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Emphasis"/>
    <w:basedOn w:val="9"/>
    <w:qFormat/>
    <w:uiPriority w:val="0"/>
    <w:rPr>
      <w:i/>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2022-01-03T08:37:00Z</dcterms:created>
  <dc:creator>吴洪福</dc:creator>
  <cp:lastModifiedBy>泽钧</cp:lastModifiedBy>
  <cp:lastPrinted>2023-03-16T10:36:00Z</cp:lastPrinted>
  <dcterms:modified xsi:type="dcterms:W3CDTF">2023-09-28T04:14:07Z</dcterms:modified>
  <dc:title>重庆市应急管理局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54431704C9E3339F314D0064A572B26C</vt:lpwstr>
  </property>
</Properties>
</file>