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                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A</w:t>
      </w:r>
    </w:p>
    <w:p>
      <w:pPr>
        <w:widowControl/>
        <w:adjustRightInd w:val="0"/>
        <w:snapToGrid w:val="0"/>
        <w:spacing w:after="249" w:afterLines="80" w:line="520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                     </w:t>
      </w:r>
      <w:r>
        <w:rPr>
          <w:rFonts w:hint="eastAsia"/>
          <w:kern w:val="0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t>公开</w:t>
      </w:r>
    </w:p>
    <w:p>
      <w:pPr>
        <w:jc w:val="both"/>
        <w:rPr>
          <w:rFonts w:ascii="Times New Roman" w:hAnsi="Times New Roman" w:eastAsia="方正小标宋_GBK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黑体_GBK"/>
          <w:color w:val="FF0000"/>
          <w:kern w:val="0"/>
          <w:sz w:val="52"/>
          <w:szCs w:val="52"/>
        </w:rPr>
      </w:pP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</w:rPr>
        <w:t>重庆市</w:t>
      </w: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  <w:lang w:eastAsia="zh-CN"/>
        </w:rPr>
        <w:t>应急管理</w:t>
      </w: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</w:rPr>
        <w:t>局</w:t>
      </w:r>
    </w:p>
    <w:p>
      <w:pPr>
        <w:wordWrap w:val="0"/>
        <w:ind w:right="24" w:firstLine="640"/>
        <w:jc w:val="center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</w:p>
    <w:p>
      <w:pPr>
        <w:wordWrap w:val="0"/>
        <w:ind w:right="24"/>
        <w:jc w:val="center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375920</wp:posOffset>
                </wp:positionV>
                <wp:extent cx="570166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66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7pt;margin-top:29.6pt;height:0pt;width:448.95pt;z-index:251658240;mso-width-relative:page;mso-height-relative:page;" filled="f" stroked="t" coordsize="21600,21600" o:gfxdata="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keD51gAAAAgB&#10;AAAPAAAAAAAAAAEAIAAAACIAAABkcnMvZG93bnJldi54bWxQSwECFAAUAAAACACHTuJA6x2x7OQB&#10;AACfAwAADgAAAAAAAAABACAAAAAl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渝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应急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函〔20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eastAsia" w:cs="方正仿宋_GBK"/>
          <w:b w:val="0"/>
          <w:bCs w:val="0"/>
          <w:sz w:val="32"/>
          <w:szCs w:val="32"/>
          <w:lang w:val="en-US" w:eastAsia="zh-CN"/>
        </w:rPr>
        <w:t>181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重庆市应急管理局关于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市六届人大二次会议第0756号建议办理情况答复的函</w:t>
      </w:r>
    </w:p>
    <w:p>
      <w:pPr>
        <w:widowControl/>
        <w:adjustRightInd/>
        <w:snapToGrid/>
        <w:spacing w:before="0" w:beforeLines="0" w:after="0" w:afterLines="0" w:line="594" w:lineRule="exact"/>
        <w:rPr>
          <w:kern w:val="0"/>
        </w:rPr>
      </w:pPr>
    </w:p>
    <w:p>
      <w:pPr>
        <w:widowControl/>
        <w:adjustRightInd/>
        <w:snapToGrid/>
        <w:spacing w:before="0" w:beforeLines="0" w:after="0" w:afterLines="0" w:line="594" w:lineRule="exact"/>
        <w:rPr>
          <w:kern w:val="0"/>
        </w:rPr>
      </w:pPr>
      <w:r>
        <w:rPr>
          <w:kern w:val="0"/>
        </w:rPr>
        <w:t>谭紫昕代表：</w:t>
      </w:r>
    </w:p>
    <w:p>
      <w:pPr>
        <w:widowControl/>
        <w:adjustRightInd/>
        <w:snapToGrid/>
        <w:spacing w:before="0" w:beforeLines="0" w:after="0" w:afterLines="0" w:line="594" w:lineRule="exact"/>
        <w:ind w:firstLine="648"/>
        <w:rPr>
          <w:kern w:val="0"/>
        </w:rPr>
      </w:pPr>
      <w:r>
        <w:rPr>
          <w:kern w:val="0"/>
        </w:rPr>
        <w:t>你提出的《关于确保人防和应急避难场所充分发挥效能，助推平安重庆建设的建议》（第0756号）收悉。经与市国动办研究办理，现将办理情况答复如下。</w:t>
      </w:r>
    </w:p>
    <w:p>
      <w:pPr>
        <w:widowControl/>
        <w:adjustRightInd/>
        <w:snapToGrid/>
        <w:spacing w:before="0" w:beforeLines="0" w:after="0" w:afterLines="0" w:line="594" w:lineRule="exact"/>
        <w:ind w:firstLine="648"/>
        <w:rPr>
          <w:rFonts w:eastAsia="方正黑体_GBK"/>
          <w:kern w:val="0"/>
        </w:rPr>
      </w:pPr>
      <w:r>
        <w:rPr>
          <w:rFonts w:eastAsia="方正黑体_GBK"/>
          <w:kern w:val="0"/>
        </w:rPr>
        <w:t>一、强化规划建设，实现服务盲区全覆盖</w:t>
      </w:r>
    </w:p>
    <w:p>
      <w:pPr>
        <w:spacing w:before="0" w:beforeLines="0" w:after="0" w:afterLines="0" w:line="594" w:lineRule="exact"/>
        <w:ind w:firstLine="640" w:firstLineChars="200"/>
      </w:pPr>
      <w:r>
        <w:rPr>
          <w:rFonts w:eastAsia="方正楷体_GBK"/>
          <w:kern w:val="0"/>
        </w:rPr>
        <w:t>（一）坚持规划先行</w:t>
      </w:r>
      <w:r>
        <w:rPr>
          <w:kern w:val="0"/>
        </w:rPr>
        <w:t>。我市自2008年起开始建设应急避难场所。</w:t>
      </w:r>
      <w:r>
        <w:rPr>
          <w:color w:val="000000"/>
        </w:rPr>
        <w:t>2008年至2009年，我市先后出台《重庆市主城区突发公共事件防灾应急避难场所规划（2007</w:t>
      </w:r>
      <w:r>
        <w:rPr>
          <w:rFonts w:hint="eastAsia"/>
          <w:color w:val="000000"/>
          <w:lang w:eastAsia="zh-CN"/>
        </w:rPr>
        <w:t>—</w:t>
      </w:r>
      <w:r>
        <w:rPr>
          <w:color w:val="000000"/>
        </w:rPr>
        <w:t>2020）》《重庆市应急避难场所规划编制导则（2009年试行）》，从市级层面明确主城区中长期和短期应急避难场所规划要求，</w:t>
      </w:r>
      <w:r>
        <w:rPr>
          <w:rFonts w:hint="eastAsia"/>
          <w:color w:val="000000"/>
        </w:rPr>
        <w:t>并</w:t>
      </w:r>
      <w:r>
        <w:rPr>
          <w:color w:val="000000"/>
        </w:rPr>
        <w:t>加强对各区县相关工作的指导。2017年，</w:t>
      </w:r>
      <w:r>
        <w:t>印发</w:t>
      </w:r>
      <w:r>
        <w:rPr>
          <w:color w:val="000000"/>
        </w:rPr>
        <w:t>《重</w:t>
      </w:r>
      <w:bookmarkStart w:id="0" w:name="_GoBack"/>
      <w:bookmarkEnd w:id="0"/>
      <w:r>
        <w:t>庆市主城区突发公共事件防灾应急避难场所规划（2007</w:t>
      </w:r>
      <w:r>
        <w:rPr>
          <w:rFonts w:hint="eastAsia"/>
          <w:lang w:eastAsia="zh-CN"/>
        </w:rPr>
        <w:t>—</w:t>
      </w:r>
      <w:r>
        <w:t>2020）（2015年修编）》，</w:t>
      </w:r>
      <w:r>
        <w:rPr>
          <w:color w:val="000000"/>
        </w:rPr>
        <w:t>完成主城区应急避难场所规划修编，</w:t>
      </w:r>
      <w:r>
        <w:t>其余各区县也先后完成规划编制。自2023年起，针对现行规划相对滞后的现状，</w:t>
      </w:r>
      <w:r>
        <w:rPr>
          <w:rFonts w:hint="eastAsia"/>
        </w:rPr>
        <w:t>我单位</w:t>
      </w:r>
      <w:r>
        <w:t>联合规划自然资源、文化旅游、教育、城乡建设、城市管理、卫生健康、人防等部门单位，按照国家层面《应急避难场所专项规划编制指南》</w:t>
      </w:r>
      <w:r>
        <w:rPr>
          <w:kern w:val="0"/>
        </w:rPr>
        <w:t>《应急避难场所评估指南（试行）》等要求，</w:t>
      </w:r>
      <w:r>
        <w:t>开展新一轮中心城区城乡应急避难场所规划编制；编制过程中将充分考虑周边市民步行可达时间等因素，有效利用学校、文体场馆、酒店、公园绿地、广场、福利院、企业厂房、文旅设施、人防工程，以及乡镇（街道）和村（社区）办公用房、文化服务中心、农村空旷场地等公共设施和场地，加强资源整合利用，合理增设避难功能，减少服务盲区，逐步实现全覆盖。目前该项工作已进入招投标阶段，预计2024年完成</w:t>
      </w:r>
      <w:r>
        <w:rPr>
          <w:rFonts w:hint="eastAsia"/>
        </w:rPr>
        <w:t>规划编制</w:t>
      </w:r>
      <w:r>
        <w:t>。通过中心城区规划编制</w:t>
      </w:r>
      <w:r>
        <w:rPr>
          <w:rFonts w:hint="eastAsia"/>
          <w:lang w:eastAsia="zh-CN"/>
        </w:rPr>
        <w:t>“</w:t>
      </w:r>
      <w:r>
        <w:t>打样</w:t>
      </w:r>
      <w:r>
        <w:rPr>
          <w:rFonts w:hint="eastAsia"/>
          <w:lang w:eastAsia="zh-CN"/>
        </w:rPr>
        <w:t>”</w:t>
      </w:r>
      <w:r>
        <w:t>，为其他区县应急避难场所规划编制提供借鉴和思路。</w:t>
      </w:r>
    </w:p>
    <w:p>
      <w:pPr>
        <w:adjustRightInd/>
        <w:snapToGrid/>
        <w:spacing w:before="0" w:beforeLines="0" w:after="0" w:afterLines="0" w:line="594" w:lineRule="exact"/>
        <w:ind w:firstLine="640" w:firstLineChars="200"/>
      </w:pPr>
      <w:r>
        <w:rPr>
          <w:rFonts w:eastAsia="方正楷体_GBK"/>
        </w:rPr>
        <w:t>（二）系统谋划推进</w:t>
      </w:r>
      <w:r>
        <w:t>。我市高度重视应急避难场所建设，按照中央12部委出台《关于加强应急避难场所建设的指导意见》（应急〔2023〕76号）部署要求，认真研究谋划，结合我市实际，联合14个市级部门，出台《关于加强重庆市应急避难场所建设的实施意见》（渝应急发〔2024〕6号），明晰部门、区县职能职责，加强对全市应急避难场所规划建设管理等工作的指导。进一步健全完善相关工作机制，对我市现行《重庆市应急避难场所管理办法》进行修订，切实有效发挥应急避难场所作用。</w:t>
      </w:r>
    </w:p>
    <w:p>
      <w:pPr>
        <w:spacing w:before="0" w:beforeLines="0" w:after="0" w:afterLines="0" w:line="594" w:lineRule="exact"/>
        <w:ind w:firstLine="640" w:firstLineChars="200"/>
      </w:pPr>
      <w:r>
        <w:rPr>
          <w:rFonts w:eastAsia="方正楷体_GBK"/>
        </w:rPr>
        <w:t>（三）补齐短板弱项</w:t>
      </w:r>
      <w:r>
        <w:t>。按照市委主要领导关于加强农村地区应急避难场所建设的指示要求，针对我市既有应急避难场所城乡分布不平衡、农村山区存在大量</w:t>
      </w:r>
      <w:r>
        <w:rPr>
          <w:rFonts w:hint="eastAsia"/>
          <w:lang w:eastAsia="zh-CN"/>
        </w:rPr>
        <w:t>“</w:t>
      </w:r>
      <w:r>
        <w:t>盲区</w:t>
      </w:r>
      <w:r>
        <w:rPr>
          <w:rFonts w:hint="eastAsia"/>
          <w:lang w:eastAsia="zh-CN"/>
        </w:rPr>
        <w:t>”</w:t>
      </w:r>
      <w:r>
        <w:t>的问题，细化完善</w:t>
      </w:r>
      <w:r>
        <w:rPr>
          <w:rFonts w:hint="eastAsia"/>
          <w:lang w:eastAsia="zh-CN"/>
        </w:rPr>
        <w:t>“</w:t>
      </w:r>
      <w:r>
        <w:t>十个明确</w:t>
      </w:r>
      <w:r>
        <w:rPr>
          <w:rFonts w:hint="eastAsia"/>
          <w:lang w:eastAsia="zh-CN"/>
        </w:rPr>
        <w:t>”</w:t>
      </w:r>
      <w:r>
        <w:t>（明确基本内涵、建设目标、建设原则、布局方式、建设方式、落实形式、建设标准、运行规则、推进步骤、责任主体）工作要求，由粗到细、循序渐进，针对性、多维度指导基层开展工作。</w:t>
      </w:r>
    </w:p>
    <w:p>
      <w:pPr>
        <w:spacing w:before="0" w:beforeLines="0" w:after="0" w:afterLines="0" w:line="594" w:lineRule="exact"/>
        <w:ind w:firstLine="640" w:firstLineChars="200"/>
      </w:pPr>
      <w:r>
        <w:t>经过多年规划建设，截至目前，全市已建应急避难场所4720个（长期53个，短期936个，紧急3707个，特殊24个）。此外，全市梳理2.3万余个自然村，选定农村地区临时避灾场所点位2.5万</w:t>
      </w:r>
      <w:r>
        <w:rPr>
          <w:rFonts w:hint="eastAsia"/>
        </w:rPr>
        <w:t>余</w:t>
      </w:r>
      <w:r>
        <w:t>个，实现村村全覆盖，有效解决了农村地区群众就近避险转移的问题。</w:t>
      </w:r>
    </w:p>
    <w:p>
      <w:pPr>
        <w:widowControl/>
        <w:adjustRightInd/>
        <w:snapToGrid/>
        <w:spacing w:before="0" w:beforeLines="0" w:after="0" w:afterLines="0" w:line="594" w:lineRule="exact"/>
        <w:ind w:firstLine="648"/>
        <w:rPr>
          <w:rFonts w:eastAsia="方正黑体_GBK"/>
          <w:kern w:val="0"/>
        </w:rPr>
      </w:pPr>
      <w:r>
        <w:rPr>
          <w:rFonts w:eastAsia="方正黑体_GBK"/>
          <w:kern w:val="0"/>
        </w:rPr>
        <w:t>二、强化建管</w:t>
      </w:r>
      <w:r>
        <w:rPr>
          <w:rFonts w:eastAsia="方正黑体_GBK"/>
          <w:bCs/>
          <w:kern w:val="0"/>
        </w:rPr>
        <w:t>宣教</w:t>
      </w:r>
      <w:r>
        <w:rPr>
          <w:rFonts w:eastAsia="方正黑体_GBK"/>
          <w:kern w:val="0"/>
        </w:rPr>
        <w:t>，提高群众整体知晓度</w:t>
      </w:r>
    </w:p>
    <w:p>
      <w:pPr>
        <w:widowControl/>
        <w:adjustRightInd/>
        <w:snapToGrid/>
        <w:spacing w:before="0" w:beforeLines="0" w:after="0" w:afterLines="0" w:line="594" w:lineRule="exact"/>
        <w:ind w:firstLine="648"/>
        <w:rPr>
          <w:kern w:val="0"/>
        </w:rPr>
      </w:pPr>
      <w:r>
        <w:rPr>
          <w:rFonts w:eastAsia="方正楷体_GBK"/>
          <w:kern w:val="0"/>
        </w:rPr>
        <w:t>（一）完善标志标牌</w:t>
      </w:r>
      <w:r>
        <w:rPr>
          <w:kern w:val="0"/>
        </w:rPr>
        <w:t>。会同市国动办，按照国家层面《应急避难场所标志》《应急避难场所设施设备及物资配置》和</w:t>
      </w:r>
      <w:r>
        <w:t>《重庆市人防工程标识导则（试行）》等要求，对全市新建应急避难场所（含临时避灾场所，下同）和人防工程均按规定喷涂标识、悬挂标志标牌；指导各区县对已建成应急避难场所和人防工程标识标牌进行维护，确保人民群众知晓身边的应急避难场所和人防工程位置，并在关键时刻发挥作用。</w:t>
      </w:r>
    </w:p>
    <w:p>
      <w:pPr>
        <w:spacing w:before="0" w:beforeLines="0" w:after="0" w:afterLines="0" w:line="594" w:lineRule="exact"/>
        <w:ind w:firstLine="640" w:firstLineChars="200"/>
      </w:pPr>
      <w:r>
        <w:rPr>
          <w:rFonts w:eastAsia="方正楷体_GBK"/>
          <w:kern w:val="0"/>
        </w:rPr>
        <w:t>（二）加强宣传演练</w:t>
      </w:r>
      <w:r>
        <w:rPr>
          <w:kern w:val="0"/>
        </w:rPr>
        <w:t>。以市减灾办名义，每年会同相关</w:t>
      </w:r>
      <w:r>
        <w:rPr>
          <w:rFonts w:hint="eastAsia"/>
          <w:kern w:val="0"/>
        </w:rPr>
        <w:t>市级</w:t>
      </w:r>
      <w:r>
        <w:rPr>
          <w:kern w:val="0"/>
        </w:rPr>
        <w:t>部门，指导区县结合</w:t>
      </w:r>
      <w:r>
        <w:rPr>
          <w:rFonts w:hint="eastAsia"/>
          <w:kern w:val="0"/>
          <w:lang w:eastAsia="zh-CN"/>
        </w:rPr>
        <w:t>“</w:t>
      </w:r>
      <w:r>
        <w:rPr>
          <w:kern w:val="0"/>
        </w:rPr>
        <w:t>5</w:t>
      </w:r>
      <w:r>
        <w:rPr>
          <w:rFonts w:hint="eastAsia"/>
          <w:kern w:val="0"/>
          <w:lang w:val="en-US" w:eastAsia="zh-CN"/>
        </w:rPr>
        <w:t>·</w:t>
      </w:r>
      <w:r>
        <w:rPr>
          <w:kern w:val="0"/>
        </w:rPr>
        <w:t>12</w:t>
      </w:r>
      <w:r>
        <w:rPr>
          <w:rFonts w:hint="eastAsia"/>
          <w:kern w:val="0"/>
          <w:lang w:eastAsia="zh-CN"/>
        </w:rPr>
        <w:t>”</w:t>
      </w:r>
      <w:r>
        <w:rPr>
          <w:kern w:val="0"/>
        </w:rPr>
        <w:t>防灾减灾日、</w:t>
      </w:r>
      <w:r>
        <w:rPr>
          <w:rFonts w:hint="eastAsia"/>
          <w:kern w:val="0"/>
          <w:lang w:eastAsia="zh-CN"/>
        </w:rPr>
        <w:t>“</w:t>
      </w:r>
      <w:r>
        <w:rPr>
          <w:kern w:val="0"/>
        </w:rPr>
        <w:t>6</w:t>
      </w:r>
      <w:r>
        <w:rPr>
          <w:rFonts w:hint="eastAsia"/>
          <w:kern w:val="0"/>
          <w:lang w:eastAsia="zh-CN"/>
        </w:rPr>
        <w:t>·</w:t>
      </w:r>
      <w:r>
        <w:rPr>
          <w:kern w:val="0"/>
        </w:rPr>
        <w:t>5</w:t>
      </w:r>
      <w:r>
        <w:rPr>
          <w:rFonts w:hint="eastAsia"/>
          <w:kern w:val="0"/>
          <w:lang w:eastAsia="zh-CN"/>
        </w:rPr>
        <w:t>”</w:t>
      </w:r>
      <w:r>
        <w:rPr>
          <w:kern w:val="0"/>
        </w:rPr>
        <w:t>重庆大轰炸纪念日和安全生产宣传月等重要节点，</w:t>
      </w:r>
      <w:r>
        <w:t>充分利用广播电视、新媒体、公共交通媒介、人员密集场所大屏幕等多种手段，组织开展应急避险知识普及和宣传教育，</w:t>
      </w:r>
      <w:r>
        <w:rPr>
          <w:rFonts w:hint="eastAsia"/>
        </w:rPr>
        <w:t>普及各类应急避难场所和人防设施设备相关功能、使用条件和方式等，</w:t>
      </w:r>
      <w:r>
        <w:t>提升群众知晓率和避险意识。统筹督导乡镇（街道）、村（社区）以应急避难场所、人防设施覆盖区域为单元，组织开展避险转移综合演练和单点演练，让群众掌握</w:t>
      </w:r>
      <w:r>
        <w:rPr>
          <w:rFonts w:hint="eastAsia"/>
          <w:lang w:eastAsia="zh-CN"/>
        </w:rPr>
        <w:t>“</w:t>
      </w:r>
      <w:r>
        <w:t>何时转、如何转、转到哪</w:t>
      </w:r>
      <w:r>
        <w:rPr>
          <w:rFonts w:hint="eastAsia"/>
          <w:lang w:eastAsia="zh-CN"/>
        </w:rPr>
        <w:t>”</w:t>
      </w:r>
      <w:r>
        <w:t>。</w:t>
      </w:r>
    </w:p>
    <w:p>
      <w:pPr>
        <w:spacing w:before="0" w:beforeLines="0" w:after="0" w:afterLines="0" w:line="594" w:lineRule="exact"/>
        <w:ind w:firstLine="640" w:firstLineChars="200"/>
      </w:pPr>
      <w:r>
        <w:rPr>
          <w:rFonts w:eastAsia="方正楷体_GBK"/>
          <w:kern w:val="0"/>
        </w:rPr>
        <w:t>（三）</w:t>
      </w:r>
      <w:r>
        <w:rPr>
          <w:rFonts w:hint="eastAsia" w:eastAsia="方正楷体_GBK"/>
          <w:kern w:val="0"/>
          <w:lang w:eastAsia="zh-CN"/>
        </w:rPr>
        <w:t>“</w:t>
      </w:r>
      <w:r>
        <w:rPr>
          <w:rFonts w:eastAsia="方正楷体_GBK"/>
          <w:kern w:val="0"/>
        </w:rPr>
        <w:t>数字应急</w:t>
      </w:r>
      <w:r>
        <w:rPr>
          <w:rFonts w:hint="eastAsia" w:eastAsia="方正楷体_GBK"/>
          <w:kern w:val="0"/>
          <w:lang w:eastAsia="zh-CN"/>
        </w:rPr>
        <w:t>”</w:t>
      </w:r>
      <w:r>
        <w:rPr>
          <w:rFonts w:eastAsia="方正楷体_GBK"/>
          <w:kern w:val="0"/>
        </w:rPr>
        <w:t>赋能</w:t>
      </w:r>
      <w:r>
        <w:rPr>
          <w:kern w:val="0"/>
        </w:rPr>
        <w:t>。</w:t>
      </w:r>
      <w:r>
        <w:t>将全市应急避难场所建设工作纳入</w:t>
      </w:r>
      <w:r>
        <w:rPr>
          <w:rFonts w:hint="eastAsia"/>
          <w:lang w:eastAsia="zh-CN"/>
        </w:rPr>
        <w:t>“</w:t>
      </w:r>
      <w:r>
        <w:t>数字应急</w:t>
      </w:r>
      <w:r>
        <w:rPr>
          <w:rFonts w:hint="eastAsia"/>
          <w:lang w:eastAsia="zh-CN"/>
        </w:rPr>
        <w:t>”</w:t>
      </w:r>
      <w:r>
        <w:t>综合应用系统统一谋划推进，加强全市应急避难资源统筹，实现与人防工程等资源汇聚共享和信息化、清单化、动态化管理。目前，我们已将全市现有应急避难场所相关信息（含类别、名称、详细地址、避难面积、可容纳暂时避难人数等）纳入了</w:t>
      </w:r>
      <w:r>
        <w:rPr>
          <w:rFonts w:hint="eastAsia"/>
          <w:lang w:eastAsia="zh-CN"/>
        </w:rPr>
        <w:t>“</w:t>
      </w:r>
      <w:r>
        <w:t>数字应急</w:t>
      </w:r>
      <w:r>
        <w:rPr>
          <w:rFonts w:hint="eastAsia"/>
          <w:lang w:eastAsia="zh-CN"/>
        </w:rPr>
        <w:t>”</w:t>
      </w:r>
      <w:r>
        <w:t>平台；同时，还将配套开发手机应用端小程序，服务社会公众查询需求，待平台建设完成后，即可查询应急避难场所分布、清单等相关信息。</w:t>
      </w:r>
    </w:p>
    <w:p>
      <w:pPr>
        <w:widowControl/>
        <w:adjustRightInd/>
        <w:snapToGrid/>
        <w:spacing w:before="0" w:beforeLines="0" w:after="0" w:afterLines="0" w:line="594" w:lineRule="exact"/>
        <w:ind w:firstLine="648"/>
        <w:rPr>
          <w:rFonts w:eastAsia="方正黑体_GBK"/>
          <w:kern w:val="0"/>
        </w:rPr>
      </w:pPr>
      <w:r>
        <w:rPr>
          <w:rFonts w:eastAsia="方正黑体_GBK"/>
          <w:kern w:val="0"/>
        </w:rPr>
        <w:t>三、强化技能培训，打造应急救援</w:t>
      </w:r>
      <w:r>
        <w:rPr>
          <w:rFonts w:hint="eastAsia" w:eastAsia="方正黑体_GBK"/>
          <w:kern w:val="0"/>
          <w:lang w:eastAsia="zh-CN"/>
        </w:rPr>
        <w:t>“</w:t>
      </w:r>
      <w:r>
        <w:rPr>
          <w:rFonts w:eastAsia="方正黑体_GBK"/>
          <w:kern w:val="0"/>
        </w:rPr>
        <w:t>后备军</w:t>
      </w:r>
      <w:r>
        <w:rPr>
          <w:rFonts w:hint="eastAsia" w:eastAsia="方正黑体_GBK"/>
          <w:kern w:val="0"/>
          <w:lang w:eastAsia="zh-CN"/>
        </w:rPr>
        <w:t>”</w:t>
      </w:r>
    </w:p>
    <w:p>
      <w:pPr>
        <w:spacing w:before="0" w:beforeLines="0" w:after="0" w:afterLines="0" w:line="594" w:lineRule="exact"/>
        <w:ind w:firstLine="640"/>
      </w:pPr>
      <w:r>
        <w:t>将</w:t>
      </w:r>
      <w:r>
        <w:rPr>
          <w:szCs w:val="22"/>
        </w:rPr>
        <w:t>应急转移避险作为固定内容纳入市、区县综合救援队伍每年综合应急演练训练科目</w:t>
      </w:r>
      <w:r>
        <w:t>，切实增强综合救援队伍相关能力。同时，要求各区县对相关基层工作人员及村（社区）干部开展</w:t>
      </w:r>
      <w:r>
        <w:rPr>
          <w:rFonts w:eastAsia="方正仿宋_GBK, 仿宋, FangSong"/>
        </w:rPr>
        <w:t>场所内设施设备使用培训时，组织有积极性的社会群众共同参与，组建</w:t>
      </w:r>
      <w:r>
        <w:rPr>
          <w:szCs w:val="22"/>
        </w:rPr>
        <w:t>应急转移避险</w:t>
      </w:r>
      <w:r>
        <w:rPr>
          <w:rFonts w:hint="eastAsia"/>
          <w:szCs w:val="22"/>
          <w:lang w:eastAsia="zh-CN"/>
        </w:rPr>
        <w:t>“</w:t>
      </w:r>
      <w:r>
        <w:rPr>
          <w:szCs w:val="22"/>
        </w:rPr>
        <w:t>后备军</w:t>
      </w:r>
      <w:r>
        <w:rPr>
          <w:rFonts w:hint="eastAsia"/>
          <w:szCs w:val="22"/>
          <w:lang w:eastAsia="zh-CN"/>
        </w:rPr>
        <w:t>”</w:t>
      </w:r>
      <w:r>
        <w:rPr>
          <w:szCs w:val="22"/>
        </w:rPr>
        <w:t>，在发生灾险情时，切实发挥群众在基层社会治理中的主体作用。</w:t>
      </w:r>
    </w:p>
    <w:p>
      <w:pPr>
        <w:widowControl/>
        <w:adjustRightInd/>
        <w:snapToGrid/>
        <w:spacing w:before="0" w:beforeLines="0" w:after="0" w:afterLines="0" w:line="594" w:lineRule="exact"/>
        <w:ind w:firstLine="645"/>
        <w:rPr>
          <w:kern w:val="0"/>
        </w:rPr>
      </w:pPr>
      <w:r>
        <w:rPr>
          <w:kern w:val="0"/>
        </w:rPr>
        <w:t>此答复函已经宋平局长审签。对以上答复你有什么意见，请及时通过人大代表全渝通应用</w:t>
      </w:r>
      <w:r>
        <w:rPr>
          <w:rFonts w:hint="eastAsia"/>
          <w:kern w:val="0"/>
          <w:lang w:eastAsia="zh-CN"/>
        </w:rPr>
        <w:t>“</w:t>
      </w:r>
      <w:r>
        <w:rPr>
          <w:kern w:val="0"/>
        </w:rPr>
        <w:t>代表议案建议功能模块</w:t>
      </w:r>
      <w:r>
        <w:rPr>
          <w:rFonts w:hint="eastAsia"/>
          <w:kern w:val="0"/>
          <w:lang w:eastAsia="zh-CN"/>
        </w:rPr>
        <w:t>”</w:t>
      </w:r>
      <w:r>
        <w:rPr>
          <w:kern w:val="0"/>
        </w:rPr>
        <w:t>进行评价。</w:t>
      </w:r>
    </w:p>
    <w:p>
      <w:pPr>
        <w:widowControl/>
        <w:adjustRightInd/>
        <w:snapToGrid/>
        <w:spacing w:before="0" w:beforeLines="0" w:after="0" w:afterLines="0" w:line="594" w:lineRule="exact"/>
        <w:ind w:firstLine="645"/>
        <w:rPr>
          <w:kern w:val="0"/>
        </w:rPr>
      </w:pPr>
    </w:p>
    <w:p>
      <w:pPr>
        <w:widowControl/>
        <w:adjustRightInd/>
        <w:snapToGrid/>
        <w:spacing w:before="0" w:beforeLines="0" w:after="0" w:afterLines="0" w:line="594" w:lineRule="exact"/>
        <w:rPr>
          <w:kern w:val="0"/>
        </w:rPr>
      </w:pPr>
    </w:p>
    <w:p>
      <w:pPr>
        <w:widowControl/>
        <w:adjustRightInd/>
        <w:snapToGrid/>
        <w:spacing w:before="0" w:beforeLines="0" w:after="0" w:afterLines="0" w:line="594" w:lineRule="exact"/>
        <w:ind w:firstLine="1920"/>
        <w:rPr>
          <w:kern w:val="0"/>
        </w:rPr>
      </w:pPr>
      <w:r>
        <w:rPr>
          <w:kern w:val="0"/>
        </w:rPr>
        <w:t xml:space="preserve">                </w:t>
      </w:r>
      <w:r>
        <w:rPr>
          <w:rFonts w:hint="eastAsia"/>
          <w:kern w:val="0"/>
          <w:lang w:val="en-US" w:eastAsia="zh-CN"/>
        </w:rPr>
        <w:t xml:space="preserve">  </w:t>
      </w:r>
      <w:r>
        <w:rPr>
          <w:kern w:val="0"/>
        </w:rPr>
        <w:t xml:space="preserve">  重庆市应急管理局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1280" w:rightChars="400" w:firstLine="0" w:firstLineChars="0"/>
        <w:jc w:val="right"/>
        <w:textAlignment w:val="auto"/>
        <w:outlineLvl w:val="9"/>
        <w:rPr>
          <w:rFonts w:hint="default"/>
          <w:kern w:val="0"/>
        </w:rPr>
      </w:pPr>
      <w:r>
        <w:rPr>
          <w:kern w:val="0"/>
        </w:rPr>
        <w:t xml:space="preserve">                                2024年4月2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日</w:t>
      </w:r>
    </w:p>
    <w:p>
      <w:pPr>
        <w:widowControl/>
        <w:adjustRightInd/>
        <w:snapToGrid/>
        <w:spacing w:before="0" w:beforeLines="0" w:after="0" w:afterLines="0" w:line="594" w:lineRule="exact"/>
        <w:ind w:firstLine="645"/>
        <w:rPr>
          <w:kern w:val="0"/>
        </w:rPr>
      </w:pPr>
    </w:p>
    <w:p>
      <w:pPr>
        <w:widowControl/>
        <w:adjustRightInd/>
        <w:snapToGrid/>
        <w:spacing w:before="0" w:beforeLines="0" w:after="0" w:afterLines="0" w:line="594" w:lineRule="exact"/>
        <w:rPr>
          <w:kern w:val="0"/>
        </w:rPr>
      </w:pPr>
      <w:r>
        <w:rPr>
          <w:kern w:val="0"/>
        </w:rPr>
        <w:t>联 系 人：卢峰</w:t>
      </w:r>
    </w:p>
    <w:p>
      <w:pPr>
        <w:widowControl/>
        <w:adjustRightInd/>
        <w:snapToGrid/>
        <w:spacing w:before="0" w:beforeLines="0" w:after="0" w:afterLines="0" w:line="594" w:lineRule="exact"/>
        <w:rPr>
          <w:kern w:val="0"/>
        </w:rPr>
      </w:pPr>
      <w:r>
        <w:rPr>
          <w:kern w:val="0"/>
        </w:rPr>
        <w:t>联系电话：63015257、13594193469</w:t>
      </w:r>
    </w:p>
    <w:p>
      <w:pPr>
        <w:spacing w:before="0" w:beforeLines="0" w:after="0" w:afterLines="0" w:line="594" w:lineRule="exact"/>
        <w:rPr>
          <w:kern w:val="0"/>
        </w:rPr>
      </w:pPr>
      <w:r>
        <w:rPr>
          <w:kern w:val="0"/>
        </w:rPr>
        <w:t>邮政编码：401121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247" w:gutter="0"/>
      <w:cols w:space="0" w:num="1"/>
      <w:rtlGutter w:val="0"/>
      <w:docGrid w:type="linesAndChar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, 仿宋, 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firstLine="280" w:firstLineChars="100"/>
      <w:jc w:val="righ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10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firstLine="280" w:firstLineChars="100"/>
      <w:jc w:val="both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10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320"/>
  <w:drawingGridVerticalSpacing w:val="3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1F"/>
    <w:rsid w:val="000752C1"/>
    <w:rsid w:val="000E6028"/>
    <w:rsid w:val="00195545"/>
    <w:rsid w:val="001C13B5"/>
    <w:rsid w:val="001D2964"/>
    <w:rsid w:val="001E7A08"/>
    <w:rsid w:val="00276A57"/>
    <w:rsid w:val="003105A7"/>
    <w:rsid w:val="005D6ECC"/>
    <w:rsid w:val="005E5316"/>
    <w:rsid w:val="005E716E"/>
    <w:rsid w:val="005F21E4"/>
    <w:rsid w:val="00663408"/>
    <w:rsid w:val="0083125A"/>
    <w:rsid w:val="009423B7"/>
    <w:rsid w:val="00951CB4"/>
    <w:rsid w:val="009605BB"/>
    <w:rsid w:val="009F39DD"/>
    <w:rsid w:val="00A53AAD"/>
    <w:rsid w:val="00A87BEA"/>
    <w:rsid w:val="00AC451F"/>
    <w:rsid w:val="00B509FF"/>
    <w:rsid w:val="00C2732C"/>
    <w:rsid w:val="00C73629"/>
    <w:rsid w:val="00F17DC3"/>
    <w:rsid w:val="00F750A9"/>
    <w:rsid w:val="00F96176"/>
    <w:rsid w:val="00FB148B"/>
    <w:rsid w:val="24424D06"/>
    <w:rsid w:val="3DB9808D"/>
    <w:rsid w:val="54FF3295"/>
    <w:rsid w:val="7929726E"/>
    <w:rsid w:val="7AC65011"/>
    <w:rsid w:val="7BFFA0F2"/>
    <w:rsid w:val="7F768B25"/>
    <w:rsid w:val="DEBC81CA"/>
    <w:rsid w:val="FCFB2FD1"/>
    <w:rsid w:val="FD8F9CD8"/>
    <w:rsid w:val="FE07A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napToGrid w:val="0"/>
      <w:spacing w:line="600" w:lineRule="exact"/>
      <w:ind w:firstLine="200" w:firstLineChars="200"/>
      <w:outlineLvl w:val="2"/>
    </w:pPr>
    <w:rPr>
      <w:rFonts w:eastAsia="方正楷体_GBK" w:cstheme="minorBidi"/>
      <w:bCs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uiPriority w:val="99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uiPriority w:val="99"/>
    <w:pPr>
      <w:spacing w:before="0" w:after="140" w:line="276" w:lineRule="auto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6"/>
    <w:uiPriority w:val="99"/>
    <w:rPr>
      <w:sz w:val="18"/>
      <w:szCs w:val="18"/>
    </w:rPr>
  </w:style>
  <w:style w:type="paragraph" w:customStyle="1" w:styleId="12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pacing w:val="4"/>
      <w:kern w:val="32"/>
      <w:szCs w:val="24"/>
    </w:rPr>
  </w:style>
  <w:style w:type="character" w:customStyle="1" w:styleId="13">
    <w:name w:val="标题 3 Char"/>
    <w:basedOn w:val="8"/>
    <w:link w:val="5"/>
    <w:qFormat/>
    <w:uiPriority w:val="9"/>
    <w:rPr>
      <w:rFonts w:ascii="Times New Roman" w:hAnsi="Times New Roman" w:eastAsia="方正楷体_GBK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349</Words>
  <Characters>1993</Characters>
  <Lines>16</Lines>
  <Paragraphs>4</Paragraphs>
  <TotalTime>0</TotalTime>
  <ScaleCrop>false</ScaleCrop>
  <LinksUpToDate>false</LinksUpToDate>
  <CharactersWithSpaces>2338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2024-04-20T02:05:00Z</dcterms:created>
  <dc:creator>卢峰</dc:creator>
  <cp:lastModifiedBy>王钥</cp:lastModifiedBy>
  <dcterms:modified xsi:type="dcterms:W3CDTF">2024-04-23T07:35:42Z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